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BA121E">
              <w:rPr>
                <w:rFonts w:ascii="Times New Roman" w:hAnsi="Times New Roman"/>
                <w:sz w:val="22"/>
                <w:szCs w:val="22"/>
              </w:rPr>
              <w:t>alancete Outubro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640F5">
              <w:rPr>
                <w:rFonts w:ascii="Times New Roman" w:hAnsi="Times New Roman"/>
                <w:b/>
                <w:sz w:val="22"/>
                <w:szCs w:val="22"/>
              </w:rPr>
              <w:t>049</w:t>
            </w:r>
            <w:bookmarkStart w:id="0" w:name="_GoBack"/>
            <w:bookmarkEnd w:id="0"/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A121E">
        <w:rPr>
          <w:rFonts w:ascii="Times New Roman" w:hAnsi="Times New Roman"/>
          <w:sz w:val="22"/>
          <w:szCs w:val="22"/>
          <w:lang w:eastAsia="pt-BR"/>
        </w:rPr>
        <w:t>17 de novembro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BA121E">
        <w:rPr>
          <w:rFonts w:ascii="Times New Roman" w:hAnsi="Times New Roman"/>
          <w:sz w:val="22"/>
          <w:szCs w:val="22"/>
        </w:rPr>
        <w:t>10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BA121E">
        <w:rPr>
          <w:rFonts w:ascii="Times New Roman" w:hAnsi="Times New Roman"/>
          <w:sz w:val="22"/>
          <w:szCs w:val="22"/>
          <w:lang w:eastAsia="pt-BR"/>
        </w:rPr>
        <w:t xml:space="preserve"> de outubro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121E">
        <w:rPr>
          <w:rFonts w:ascii="Times New Roman" w:hAnsi="Times New Roman"/>
          <w:sz w:val="22"/>
          <w:szCs w:val="22"/>
          <w:lang w:eastAsia="pt-BR"/>
        </w:rPr>
        <w:t>17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A121E">
        <w:rPr>
          <w:rFonts w:ascii="Times New Roman" w:hAnsi="Times New Roman"/>
          <w:sz w:val="22"/>
          <w:szCs w:val="22"/>
          <w:lang w:eastAsia="pt-BR"/>
        </w:rPr>
        <w:t>novembro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D6D1-8F01-45D8-8280-BF3AD95E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26</cp:revision>
  <cp:lastPrinted>2020-02-04T18:16:00Z</cp:lastPrinted>
  <dcterms:created xsi:type="dcterms:W3CDTF">2019-02-19T18:15:00Z</dcterms:created>
  <dcterms:modified xsi:type="dcterms:W3CDTF">2020-11-30T15:12:00Z</dcterms:modified>
</cp:coreProperties>
</file>