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C76D67" w:rsidP="00A427E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427E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="00A427EF" w:rsidRPr="00A427EF">
              <w:rPr>
                <w:rFonts w:ascii="Times New Roman" w:hAnsi="Times New Roman"/>
                <w:sz w:val="22"/>
                <w:szCs w:val="22"/>
              </w:rPr>
              <w:t>Relatório de Gestão do CAU/RS ao Tribunal de Contas da União referente ao exercício de 2019.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E7666F">
        <w:rPr>
          <w:rFonts w:ascii="Times New Roman" w:hAnsi="Times New Roman"/>
          <w:sz w:val="22"/>
          <w:szCs w:val="22"/>
          <w:lang w:eastAsia="pt-BR"/>
        </w:rPr>
        <w:t>6</w:t>
      </w:r>
      <w:r w:rsidR="00317B56">
        <w:rPr>
          <w:rFonts w:ascii="Times New Roman" w:hAnsi="Times New Roman"/>
          <w:sz w:val="22"/>
          <w:szCs w:val="22"/>
          <w:lang w:eastAsia="pt-BR"/>
        </w:rPr>
        <w:t>6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D6DF2" w:rsidRDefault="00A427EF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A427EF">
        <w:rPr>
          <w:rFonts w:ascii="Times New Roman" w:hAnsi="Times New Roman"/>
          <w:bCs/>
          <w:sz w:val="20"/>
          <w:szCs w:val="22"/>
          <w:lang w:eastAsia="pt-BR"/>
        </w:rPr>
        <w:t>Homologa o Relatório de Gestão do CAU/RS ao Tribunal de Contas da União</w:t>
      </w:r>
      <w:r>
        <w:rPr>
          <w:rFonts w:ascii="Times New Roman" w:hAnsi="Times New Roman"/>
          <w:bCs/>
          <w:sz w:val="20"/>
          <w:szCs w:val="22"/>
          <w:lang w:eastAsia="pt-BR"/>
        </w:rPr>
        <w:t xml:space="preserve"> referente ao exercício de 2019</w:t>
      </w:r>
      <w:r w:rsidR="00044F2B" w:rsidRPr="00044F2B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1D0CA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>
        <w:rPr>
          <w:rFonts w:ascii="Times New Roman" w:hAnsi="Times New Roman"/>
          <w:sz w:val="22"/>
          <w:szCs w:val="22"/>
        </w:rPr>
        <w:t xml:space="preserve">a Deliberação Plenária </w:t>
      </w:r>
      <w:r w:rsidR="00EC7191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7191">
        <w:rPr>
          <w:rFonts w:ascii="Times New Roman" w:hAnsi="Times New Roman"/>
          <w:sz w:val="22"/>
          <w:szCs w:val="22"/>
          <w:lang w:eastAsia="pt-BR"/>
        </w:rPr>
        <w:t>29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7191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1D0CA0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27EF" w:rsidRDefault="00A427EF" w:rsidP="00A427E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2862">
        <w:rPr>
          <w:rFonts w:ascii="Times New Roman" w:hAnsi="Times New Roman"/>
          <w:sz w:val="22"/>
          <w:szCs w:val="22"/>
          <w:lang w:eastAsia="pt-BR"/>
        </w:rPr>
        <w:t xml:space="preserve">Considerando a obrigação de apresentação do Relatório de Gestão </w:t>
      </w:r>
      <w:r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Pr="00542862">
        <w:rPr>
          <w:rFonts w:ascii="Times New Roman" w:hAnsi="Times New Roman"/>
          <w:sz w:val="22"/>
          <w:szCs w:val="22"/>
          <w:lang w:eastAsia="pt-BR"/>
        </w:rPr>
        <w:t>TCU</w:t>
      </w:r>
      <w:r>
        <w:rPr>
          <w:rFonts w:ascii="Times New Roman" w:hAnsi="Times New Roman"/>
          <w:sz w:val="22"/>
          <w:szCs w:val="22"/>
          <w:lang w:eastAsia="pt-BR"/>
        </w:rPr>
        <w:t xml:space="preserve"> – Tribunal de Contas da União</w:t>
      </w:r>
      <w:r w:rsidRPr="00542862">
        <w:rPr>
          <w:rFonts w:ascii="Times New Roman" w:hAnsi="Times New Roman"/>
          <w:sz w:val="22"/>
          <w:szCs w:val="22"/>
          <w:lang w:eastAsia="pt-BR"/>
        </w:rPr>
        <w:t xml:space="preserve">, nos termos do art. 70 da Constituição Federal, elaborado de acordo com as disposições da Instrução Normativa TCU nº 63/2010, da Decisão Normativa TCU nº 146/2015 da Portaria TCU nº 321/2015 e das </w:t>
      </w:r>
      <w:proofErr w:type="gramStart"/>
      <w:r w:rsidRPr="00542862">
        <w:rPr>
          <w:rFonts w:ascii="Times New Roman" w:hAnsi="Times New Roman"/>
          <w:sz w:val="22"/>
          <w:szCs w:val="22"/>
          <w:lang w:eastAsia="pt-BR"/>
        </w:rPr>
        <w:t>orientações</w:t>
      </w:r>
      <w:proofErr w:type="gramEnd"/>
      <w:r w:rsidRPr="00542862">
        <w:rPr>
          <w:rFonts w:ascii="Times New Roman" w:hAnsi="Times New Roman"/>
          <w:sz w:val="22"/>
          <w:szCs w:val="22"/>
          <w:lang w:eastAsia="pt-BR"/>
        </w:rPr>
        <w:t xml:space="preserve"> constantes nas Resoluções CAU/BR, e que contemplam os atos de gestão praticados pelo Conselho de Arquitetura e Urbanismo do Rio Grande do Sul (CAU/RS) durante o exercício de 201</w:t>
      </w:r>
      <w:r>
        <w:rPr>
          <w:rFonts w:ascii="Times New Roman" w:hAnsi="Times New Roman"/>
          <w:sz w:val="22"/>
          <w:szCs w:val="22"/>
          <w:lang w:eastAsia="pt-BR"/>
        </w:rPr>
        <w:t>8;</w:t>
      </w:r>
    </w:p>
    <w:p w:rsidR="00A427EF" w:rsidRDefault="00A427EF" w:rsidP="00A427E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27EF" w:rsidRPr="00523DB9" w:rsidRDefault="00A427EF" w:rsidP="00A427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3DB9">
        <w:rPr>
          <w:rFonts w:ascii="Times New Roman" w:hAnsi="Times New Roman"/>
          <w:sz w:val="22"/>
          <w:szCs w:val="22"/>
        </w:rPr>
        <w:t xml:space="preserve">Considerando por fim, a Deliberação nº </w:t>
      </w:r>
      <w:r>
        <w:rPr>
          <w:rFonts w:ascii="Times New Roman" w:hAnsi="Times New Roman"/>
          <w:sz w:val="22"/>
          <w:szCs w:val="22"/>
        </w:rPr>
        <w:t>028</w:t>
      </w:r>
      <w:r w:rsidRPr="00523DB9">
        <w:rPr>
          <w:rFonts w:ascii="Times New Roman" w:hAnsi="Times New Roman"/>
          <w:sz w:val="22"/>
          <w:szCs w:val="22"/>
        </w:rPr>
        <w:t>/2</w:t>
      </w:r>
      <w:r>
        <w:rPr>
          <w:rFonts w:ascii="Times New Roman" w:hAnsi="Times New Roman"/>
          <w:sz w:val="22"/>
          <w:szCs w:val="22"/>
        </w:rPr>
        <w:t>020</w:t>
      </w:r>
      <w:r w:rsidRPr="00523DB9">
        <w:rPr>
          <w:rFonts w:ascii="Times New Roman" w:hAnsi="Times New Roman"/>
          <w:sz w:val="22"/>
          <w:szCs w:val="22"/>
        </w:rPr>
        <w:t xml:space="preserve"> da Comissão de Planejamento e Finanças do CAU/RS, que aprovou o Relatório de Gestão do Exercício 20</w:t>
      </w:r>
      <w:r>
        <w:rPr>
          <w:rFonts w:ascii="Times New Roman" w:hAnsi="Times New Roman"/>
          <w:sz w:val="22"/>
          <w:szCs w:val="22"/>
        </w:rPr>
        <w:t>19</w:t>
      </w:r>
      <w:r w:rsidRPr="00523DB9">
        <w:rPr>
          <w:rFonts w:ascii="Times New Roman" w:hAnsi="Times New Roman"/>
          <w:sz w:val="22"/>
          <w:szCs w:val="22"/>
        </w:rPr>
        <w:t>.</w:t>
      </w:r>
    </w:p>
    <w:p w:rsidR="005579C1" w:rsidRPr="001D0CA0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1CFB" w:rsidRPr="001D0CA0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D0CA0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A427EF" w:rsidRDefault="00A427EF" w:rsidP="00A427EF">
      <w:pPr>
        <w:pStyle w:val="PargrafodaLista"/>
        <w:numPr>
          <w:ilvl w:val="0"/>
          <w:numId w:val="17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3DB9">
        <w:rPr>
          <w:rFonts w:ascii="Times New Roman" w:hAnsi="Times New Roman"/>
          <w:sz w:val="22"/>
          <w:szCs w:val="22"/>
          <w:lang w:eastAsia="pt-BR"/>
        </w:rPr>
        <w:t xml:space="preserve">Aprovar o </w:t>
      </w:r>
      <w:r w:rsidRPr="00523DB9">
        <w:rPr>
          <w:rFonts w:ascii="Times New Roman" w:hAnsi="Times New Roman"/>
          <w:sz w:val="22"/>
          <w:szCs w:val="22"/>
        </w:rPr>
        <w:t>Relatório de Gestão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3DB9">
        <w:rPr>
          <w:rFonts w:ascii="Times New Roman" w:hAnsi="Times New Roman"/>
          <w:sz w:val="22"/>
          <w:szCs w:val="22"/>
        </w:rPr>
        <w:t xml:space="preserve">do Conselho de Arquitetura e Urbanismo do Rio Grande do Sul, </w:t>
      </w:r>
      <w:r>
        <w:rPr>
          <w:rFonts w:ascii="Times New Roman" w:hAnsi="Times New Roman"/>
          <w:sz w:val="22"/>
          <w:szCs w:val="22"/>
        </w:rPr>
        <w:t>referente a e</w:t>
      </w:r>
      <w:r w:rsidRPr="00523DB9">
        <w:rPr>
          <w:rFonts w:ascii="Times New Roman" w:hAnsi="Times New Roman"/>
          <w:sz w:val="22"/>
          <w:szCs w:val="22"/>
        </w:rPr>
        <w:t>xercício 2018</w:t>
      </w:r>
      <w:r>
        <w:rPr>
          <w:rFonts w:ascii="Times New Roman" w:hAnsi="Times New Roman"/>
          <w:sz w:val="22"/>
          <w:szCs w:val="22"/>
        </w:rPr>
        <w:t>,</w:t>
      </w:r>
      <w:r w:rsidRPr="00523DB9">
        <w:rPr>
          <w:rFonts w:ascii="Times New Roman" w:hAnsi="Times New Roman"/>
          <w:sz w:val="22"/>
          <w:szCs w:val="22"/>
        </w:rPr>
        <w:t xml:space="preserve"> conforme </w:t>
      </w:r>
      <w:r>
        <w:rPr>
          <w:rFonts w:ascii="Times New Roman" w:hAnsi="Times New Roman"/>
          <w:sz w:val="22"/>
          <w:szCs w:val="22"/>
        </w:rPr>
        <w:t>anexo d</w:t>
      </w:r>
      <w:r w:rsidRPr="00523DB9">
        <w:rPr>
          <w:rFonts w:ascii="Times New Roman" w:hAnsi="Times New Roman"/>
          <w:sz w:val="22"/>
          <w:szCs w:val="22"/>
        </w:rPr>
        <w:t>esta deliberação</w:t>
      </w:r>
      <w:r>
        <w:rPr>
          <w:rFonts w:ascii="Times New Roman" w:hAnsi="Times New Roman"/>
          <w:sz w:val="22"/>
          <w:szCs w:val="22"/>
        </w:rPr>
        <w:t>;</w:t>
      </w:r>
    </w:p>
    <w:p w:rsidR="00A427EF" w:rsidRDefault="00A427EF" w:rsidP="00A427EF">
      <w:pPr>
        <w:pStyle w:val="PargrafodaLista"/>
        <w:numPr>
          <w:ilvl w:val="0"/>
          <w:numId w:val="17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3DB9">
        <w:rPr>
          <w:rFonts w:ascii="Times New Roman" w:hAnsi="Times New Roman"/>
          <w:sz w:val="22"/>
          <w:szCs w:val="22"/>
        </w:rPr>
        <w:t>Encaminhar esta deliberação e seus anexos ao CAU/BR para apreciação e aprovação</w:t>
      </w:r>
      <w:r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:rsidR="00A427EF" w:rsidRPr="00A427EF" w:rsidRDefault="00A427EF" w:rsidP="00A427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B04972" w:rsidRPr="001D0CA0" w:rsidRDefault="00B04972" w:rsidP="00B04972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EE5B00">
        <w:rPr>
          <w:rFonts w:ascii="Times New Roman" w:hAnsi="Times New Roman"/>
          <w:sz w:val="22"/>
          <w:szCs w:val="22"/>
          <w:lang w:eastAsia="pt-BR"/>
        </w:rPr>
        <w:t xml:space="preserve">Com 18 (dezoito) votos favoráveis dos conselheiros </w:t>
      </w:r>
      <w:proofErr w:type="spellStart"/>
      <w:r w:rsidRPr="00EE5B00">
        <w:rPr>
          <w:rFonts w:ascii="Times New Roman" w:hAnsi="Times New Roman"/>
          <w:sz w:val="22"/>
          <w:szCs w:val="22"/>
        </w:rPr>
        <w:t>Alvino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Jara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Carlos </w:t>
      </w:r>
      <w:proofErr w:type="spellStart"/>
      <w:r w:rsidRPr="00EE5B00">
        <w:rPr>
          <w:rFonts w:ascii="Times New Roman" w:hAnsi="Times New Roman"/>
          <w:sz w:val="22"/>
          <w:szCs w:val="22"/>
        </w:rPr>
        <w:t>Pitzer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Claudio Fischer, Helenice Macedo do Couto, Jorge Luís </w:t>
      </w:r>
      <w:proofErr w:type="spellStart"/>
      <w:r w:rsidRPr="00EE5B00">
        <w:rPr>
          <w:rFonts w:ascii="Times New Roman" w:hAnsi="Times New Roman"/>
          <w:sz w:val="22"/>
          <w:szCs w:val="22"/>
        </w:rPr>
        <w:t>Stocker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Júnior, José Arthur Fell, Matias </w:t>
      </w:r>
      <w:proofErr w:type="spellStart"/>
      <w:r w:rsidRPr="00EE5B00">
        <w:rPr>
          <w:rFonts w:ascii="Times New Roman" w:hAnsi="Times New Roman"/>
          <w:sz w:val="22"/>
          <w:szCs w:val="22"/>
        </w:rPr>
        <w:t>Revello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Vazquez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E5B00">
        <w:rPr>
          <w:rFonts w:ascii="Times New Roman" w:hAnsi="Times New Roman"/>
          <w:sz w:val="22"/>
          <w:szCs w:val="22"/>
        </w:rPr>
        <w:t>Oritz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Adriano Adams de Campos, Paulo </w:t>
      </w:r>
      <w:proofErr w:type="spellStart"/>
      <w:r w:rsidRPr="00EE5B00">
        <w:rPr>
          <w:rFonts w:ascii="Times New Roman" w:hAnsi="Times New Roman"/>
          <w:sz w:val="22"/>
          <w:szCs w:val="22"/>
        </w:rPr>
        <w:t>Bregatto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Paulo Fontana, Priscila </w:t>
      </w:r>
      <w:proofErr w:type="spellStart"/>
      <w:r w:rsidRPr="00EE5B00">
        <w:rPr>
          <w:rFonts w:ascii="Times New Roman" w:hAnsi="Times New Roman"/>
          <w:sz w:val="22"/>
          <w:szCs w:val="22"/>
        </w:rPr>
        <w:t>Quesada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EE5B00">
        <w:rPr>
          <w:rFonts w:ascii="Times New Roman" w:hAnsi="Times New Roman"/>
          <w:sz w:val="22"/>
          <w:szCs w:val="22"/>
        </w:rPr>
        <w:t>Bresolin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Pr="00EE5B00">
        <w:rPr>
          <w:rFonts w:ascii="Times New Roman" w:hAnsi="Times New Roman"/>
          <w:sz w:val="22"/>
          <w:szCs w:val="22"/>
        </w:rPr>
        <w:t>Maraschin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Roberta Edelweiss, Roberto Luiz </w:t>
      </w:r>
      <w:proofErr w:type="spellStart"/>
      <w:r w:rsidRPr="00EE5B00">
        <w:rPr>
          <w:rFonts w:ascii="Times New Roman" w:hAnsi="Times New Roman"/>
          <w:sz w:val="22"/>
          <w:szCs w:val="22"/>
        </w:rPr>
        <w:t>Decó</w:t>
      </w:r>
      <w:proofErr w:type="spellEnd"/>
      <w:r w:rsidRPr="00EE5B00">
        <w:rPr>
          <w:rFonts w:ascii="Times New Roman" w:hAnsi="Times New Roman"/>
          <w:sz w:val="22"/>
          <w:szCs w:val="22"/>
        </w:rPr>
        <w:t>, Rodrigo Spinelli, Rômulo Giralt e Deise Flores.</w:t>
      </w:r>
    </w:p>
    <w:p w:rsidR="00BF1FEF" w:rsidRPr="001D0CA0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1D0CA0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1D0CA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E7666F" w:rsidRPr="001D0CA0">
        <w:rPr>
          <w:rFonts w:ascii="Times New Roman" w:hAnsi="Times New Roman"/>
          <w:sz w:val="22"/>
          <w:szCs w:val="22"/>
        </w:rPr>
        <w:t>29</w:t>
      </w:r>
      <w:r w:rsidR="005579C1" w:rsidRPr="001D0CA0">
        <w:rPr>
          <w:rFonts w:ascii="Times New Roman" w:hAnsi="Times New Roman"/>
          <w:sz w:val="22"/>
          <w:szCs w:val="22"/>
        </w:rPr>
        <w:t xml:space="preserve"> de </w:t>
      </w:r>
      <w:r w:rsidR="00E7666F" w:rsidRPr="001D0CA0">
        <w:rPr>
          <w:rFonts w:ascii="Times New Roman" w:hAnsi="Times New Roman"/>
          <w:sz w:val="22"/>
          <w:szCs w:val="22"/>
        </w:rPr>
        <w:t xml:space="preserve">maio </w:t>
      </w:r>
      <w:r w:rsidRPr="001D0CA0">
        <w:rPr>
          <w:rFonts w:ascii="Times New Roman" w:hAnsi="Times New Roman"/>
          <w:sz w:val="22"/>
          <w:szCs w:val="22"/>
        </w:rPr>
        <w:t xml:space="preserve">de </w:t>
      </w:r>
      <w:r w:rsidR="005D6DF2" w:rsidRPr="001D0CA0">
        <w:rPr>
          <w:rFonts w:ascii="Times New Roman" w:hAnsi="Times New Roman"/>
          <w:sz w:val="22"/>
          <w:szCs w:val="22"/>
        </w:rPr>
        <w:t>2020</w:t>
      </w:r>
      <w:r w:rsidRPr="001D0CA0">
        <w:rPr>
          <w:rFonts w:ascii="Times New Roman" w:hAnsi="Times New Roman"/>
          <w:sz w:val="22"/>
          <w:szCs w:val="22"/>
        </w:rPr>
        <w:t>.</w:t>
      </w:r>
    </w:p>
    <w:p w:rsidR="0019498C" w:rsidRPr="001D0CA0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1D0CA0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1D0CA0" w:rsidRDefault="00B04972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427EF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B04972" w:rsidRPr="00141D12" w:rsidTr="00784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B04972" w:rsidRPr="00141D12" w:rsidRDefault="00B04972" w:rsidP="00B04972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auto"/>
                <w:sz w:val="19"/>
                <w:szCs w:val="19"/>
              </w:rPr>
              <w:lastRenderedPageBreak/>
              <w:t>VOTAÇÃO DA DELIBERAÇÃO PLENÁRIA DPO/RS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Nº 116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/2020 - PROTOCOLO Nº 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B04972" w:rsidRPr="00141D12" w:rsidRDefault="00B04972" w:rsidP="00784B0B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B04972" w:rsidRPr="00141D12" w:rsidRDefault="00B04972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B04972" w:rsidRPr="00141D12" w:rsidRDefault="00B04972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B04972" w:rsidRPr="00141D12" w:rsidRDefault="00B04972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B04972" w:rsidRPr="00141D12" w:rsidRDefault="00B04972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B04972" w:rsidRPr="00141D12" w:rsidRDefault="00B04972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B04972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14:25:46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14:25:50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cons.jorge.stocker@caurs.gov.br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Jorge Luís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Stocker</w:t>
            </w:r>
            <w:proofErr w:type="spellEnd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Júnior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14:25:47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14:25:51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14:25:50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14:25:55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14:25:51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14:25:55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14:25:52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14:25:57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14:25:52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14:25:58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14:25:51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14:26:00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14:25:49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14:26:00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14:25:52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14:26:01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14:25:55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14:26:01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14:25:58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14:26:04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cons.paulo.bregatto@caurs.gov.br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Paulo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Bregatto</w:t>
            </w:r>
            <w:proofErr w:type="spellEnd"/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14:26:10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14:26:13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14:26:03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14:26:13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14:26:18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14:26:22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Pitzer</w:t>
            </w:r>
            <w:proofErr w:type="spellEnd"/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14:26:19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14:26:23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14:26:17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14:26:24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14:32:30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14:32:52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B04972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B04972" w:rsidRPr="0048600D" w:rsidRDefault="00B04972" w:rsidP="00784B0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14:41:56</w:t>
            </w:r>
          </w:p>
        </w:tc>
        <w:tc>
          <w:tcPr>
            <w:tcW w:w="1559" w:type="dxa"/>
            <w:vAlign w:val="bottom"/>
          </w:tcPr>
          <w:p w:rsidR="00B04972" w:rsidRPr="0048600D" w:rsidRDefault="00B04972" w:rsidP="00784B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14:42:32</w:t>
            </w:r>
          </w:p>
        </w:tc>
        <w:tc>
          <w:tcPr>
            <w:tcW w:w="3051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B04972" w:rsidRPr="0048600D" w:rsidRDefault="00B04972" w:rsidP="00784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B04972" w:rsidRPr="00141D12" w:rsidRDefault="00B04972" w:rsidP="00B0497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B04972" w:rsidRPr="00141D12" w:rsidRDefault="00B04972" w:rsidP="00B0497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8161"/>
        <w:tblW w:w="1053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5146"/>
      </w:tblGrid>
      <w:tr w:rsidR="00B04972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B04972" w:rsidRPr="00141D1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B04972" w:rsidRPr="00141D1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B04972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B04972" w:rsidRPr="00141D1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141D12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141D12">
              <w:rPr>
                <w:rFonts w:ascii="Times New Roman" w:hAnsi="Times New Roman"/>
                <w:b/>
                <w:sz w:val="18"/>
              </w:rPr>
              <w:t xml:space="preserve"> nº 108</w:t>
            </w:r>
          </w:p>
          <w:p w:rsidR="00B04972" w:rsidRPr="00141D1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04972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B04972" w:rsidRPr="00141D12" w:rsidRDefault="00B04972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141D12">
              <w:rPr>
                <w:rFonts w:ascii="Times New Roman" w:hAnsi="Times New Roman"/>
                <w:sz w:val="18"/>
              </w:rPr>
              <w:t>29/05/2020</w:t>
            </w:r>
          </w:p>
          <w:p w:rsidR="00B04972" w:rsidRPr="00141D12" w:rsidRDefault="00B04972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sz w:val="18"/>
              </w:rPr>
              <w:tab/>
            </w:r>
          </w:p>
          <w:p w:rsidR="00B04972" w:rsidRPr="00B04972" w:rsidRDefault="00B04972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color w:val="000000"/>
                <w:sz w:val="18"/>
                <w:szCs w:val="20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 xml:space="preserve"> DPO/RS nº 116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>/2020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972">
              <w:rPr>
                <w:rFonts w:ascii="Times New Roman" w:eastAsiaTheme="minorHAnsi" w:hAnsi="Times New Roman"/>
                <w:bCs/>
                <w:color w:val="000000"/>
                <w:sz w:val="18"/>
                <w:szCs w:val="20"/>
              </w:rPr>
              <w:t>Homologa o Relatório de Gestão do CAU/RS ao Tribunal de Contas da União referente ao exercício de 2019.</w:t>
            </w:r>
          </w:p>
          <w:p w:rsidR="00B04972" w:rsidRPr="00141D12" w:rsidRDefault="00B04972" w:rsidP="00784B0B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04972" w:rsidRPr="00141D12" w:rsidTr="00784B0B">
        <w:trPr>
          <w:trHeight w:val="174"/>
        </w:trPr>
        <w:tc>
          <w:tcPr>
            <w:tcW w:w="10535" w:type="dxa"/>
            <w:gridSpan w:val="2"/>
            <w:shd w:val="clear" w:color="auto" w:fill="auto"/>
          </w:tcPr>
          <w:p w:rsidR="00B04972" w:rsidRPr="00141D1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141D12">
              <w:rPr>
                <w:rFonts w:ascii="Times New Roman" w:hAnsi="Times New Roman"/>
                <w:sz w:val="18"/>
              </w:rPr>
              <w:t xml:space="preserve">(18)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Não </w:t>
            </w:r>
            <w:proofErr w:type="gramStart"/>
            <w:r w:rsidRPr="00141D12">
              <w:rPr>
                <w:rFonts w:ascii="Times New Roman" w:hAnsi="Times New Roman"/>
                <w:sz w:val="18"/>
              </w:rPr>
              <w:t>( )</w:t>
            </w:r>
            <w:proofErr w:type="gramEnd"/>
            <w:r w:rsidRPr="00141D12">
              <w:rPr>
                <w:rFonts w:ascii="Times New Roman" w:hAnsi="Times New Roman"/>
                <w:sz w:val="18"/>
              </w:rPr>
              <w:t xml:space="preserve">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141D12">
              <w:rPr>
                <w:rFonts w:ascii="Times New Roman" w:hAnsi="Times New Roman"/>
                <w:sz w:val="18"/>
              </w:rPr>
              <w:t>(18)</w:t>
            </w:r>
          </w:p>
          <w:p w:rsidR="00B04972" w:rsidRPr="00141D1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04972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B0497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B0497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B04972" w:rsidRPr="00141D1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B04972" w:rsidRPr="00141D12" w:rsidRDefault="00B04972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B04972" w:rsidRPr="00141D12" w:rsidTr="00784B0B">
        <w:trPr>
          <w:trHeight w:val="161"/>
        </w:trPr>
        <w:tc>
          <w:tcPr>
            <w:tcW w:w="5389" w:type="dxa"/>
            <w:shd w:val="clear" w:color="auto" w:fill="auto"/>
          </w:tcPr>
          <w:p w:rsidR="00B04972" w:rsidRPr="00141D12" w:rsidRDefault="00B04972" w:rsidP="00784B0B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146" w:type="dxa"/>
            <w:shd w:val="clear" w:color="auto" w:fill="auto"/>
          </w:tcPr>
          <w:p w:rsidR="00B04972" w:rsidRPr="00141D12" w:rsidRDefault="00B04972" w:rsidP="00784B0B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Tiago </w:t>
            </w:r>
            <w:proofErr w:type="spellStart"/>
            <w:r w:rsidRPr="00141D12">
              <w:rPr>
                <w:rFonts w:ascii="Times New Roman" w:hAnsi="Times New Roman"/>
                <w:sz w:val="18"/>
                <w:lang w:eastAsia="pt-BR"/>
              </w:rPr>
              <w:t>Holzmann</w:t>
            </w:r>
            <w:proofErr w:type="spellEnd"/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 da Silva    </w:t>
            </w:r>
          </w:p>
        </w:tc>
      </w:tr>
    </w:tbl>
    <w:p w:rsidR="00BF1FEF" w:rsidRPr="005D6DF2" w:rsidRDefault="00BF1FEF" w:rsidP="00B04972">
      <w:pPr>
        <w:jc w:val="center"/>
        <w:rPr>
          <w:rFonts w:ascii="Times New Roman" w:hAnsi="Times New Roman"/>
          <w:sz w:val="22"/>
          <w:szCs w:val="22"/>
        </w:rPr>
      </w:pPr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497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497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-907191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04972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B049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2E3A-45A6-4993-B94A-7D29BB2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</cp:revision>
  <cp:lastPrinted>2019-10-25T17:16:00Z</cp:lastPrinted>
  <dcterms:created xsi:type="dcterms:W3CDTF">2020-05-28T17:58:00Z</dcterms:created>
  <dcterms:modified xsi:type="dcterms:W3CDTF">2020-06-01T16:32:00Z</dcterms:modified>
</cp:coreProperties>
</file>