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C1A1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C1A1B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C1A1B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C1A1B" w:rsidRDefault="00FD4628" w:rsidP="00C12C4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7C1A1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C1A1B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C1A1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C1A1B" w:rsidRDefault="006F5FB1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C1A1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</w:t>
            </w:r>
            <w:r w:rsidR="00822441" w:rsidRPr="007C1A1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FD4628" w:rsidRPr="007C1A1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6F5FB1" w:rsidRPr="007C1A1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5FB1" w:rsidRPr="007C1A1B" w:rsidRDefault="006F5FB1" w:rsidP="006F5FB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C1A1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F5FB1" w:rsidRPr="007C1A1B" w:rsidRDefault="006F5FB1" w:rsidP="006F5FB1">
            <w:pPr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1A1B">
              <w:rPr>
                <w:rFonts w:ascii="Times New Roman" w:hAnsi="Times New Roman"/>
                <w:sz w:val="22"/>
                <w:szCs w:val="22"/>
              </w:rPr>
              <w:t>Estabelece normas para a realização de audiências e sessões de julgamentos devido às medidas preventivas à pandemia da COVID-19.</w:t>
            </w:r>
          </w:p>
        </w:tc>
      </w:tr>
    </w:tbl>
    <w:p w:rsidR="00124A49" w:rsidRPr="007C1A1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C1A1B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7C1A1B">
        <w:rPr>
          <w:rFonts w:ascii="Times New Roman" w:hAnsi="Times New Roman"/>
          <w:sz w:val="22"/>
          <w:szCs w:val="22"/>
          <w:lang w:eastAsia="pt-BR"/>
        </w:rPr>
        <w:t>/RS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7C1A1B">
        <w:rPr>
          <w:rFonts w:ascii="Times New Roman" w:hAnsi="Times New Roman"/>
          <w:sz w:val="22"/>
          <w:szCs w:val="22"/>
          <w:lang w:eastAsia="pt-BR"/>
        </w:rPr>
        <w:t>11</w:t>
      </w:r>
      <w:r w:rsidR="007615D7">
        <w:rPr>
          <w:rFonts w:ascii="Times New Roman" w:hAnsi="Times New Roman"/>
          <w:sz w:val="22"/>
          <w:szCs w:val="22"/>
          <w:lang w:eastAsia="pt-BR"/>
        </w:rPr>
        <w:t>72</w:t>
      </w:r>
      <w:r w:rsidRPr="007C1A1B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7C1A1B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7C1A1B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7C1A1B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822441" w:rsidRPr="007C1A1B" w:rsidRDefault="006F5FB1" w:rsidP="00D34C38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0"/>
          <w:szCs w:val="22"/>
        </w:rPr>
        <w:t>Estabelece normas para a realização de audiências e sessões de julgamentos devido às medidas preventivas à pandemia da COVID-19</w:t>
      </w:r>
      <w:r w:rsidRPr="007C1A1B">
        <w:rPr>
          <w:rFonts w:ascii="Times New Roman" w:hAnsi="Times New Roman"/>
          <w:sz w:val="22"/>
          <w:szCs w:val="22"/>
        </w:rPr>
        <w:t>.</w:t>
      </w:r>
    </w:p>
    <w:p w:rsidR="006F5FB1" w:rsidRPr="007C1A1B" w:rsidRDefault="006F5FB1" w:rsidP="00D34C38">
      <w:pPr>
        <w:ind w:left="4956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7C1A1B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C1A1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7C1A1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7C1A1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7C1A1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7C1A1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7C1A1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C1A1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7C1A1B">
        <w:rPr>
          <w:rFonts w:ascii="Times New Roman" w:hAnsi="Times New Roman"/>
          <w:sz w:val="22"/>
          <w:szCs w:val="22"/>
          <w:lang w:eastAsia="pt-BR"/>
        </w:rPr>
        <w:t>/RS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7C1A1B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 w:rsidRPr="007C1A1B">
        <w:rPr>
          <w:rFonts w:ascii="Times New Roman" w:hAnsi="Times New Roman"/>
          <w:sz w:val="22"/>
          <w:szCs w:val="22"/>
        </w:rPr>
        <w:t>a Deliberação Plenária DPO/RS Nº 1155/2020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 w:rsidRPr="007C1A1B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7C1A1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 w:rsidRPr="007C1A1B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7C1A1B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7C1A1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7C1A1B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7C1A1B">
        <w:rPr>
          <w:rFonts w:ascii="Times New Roman" w:hAnsi="Times New Roman"/>
          <w:sz w:val="22"/>
          <w:szCs w:val="22"/>
          <w:lang w:eastAsia="pt-BR"/>
        </w:rPr>
        <w:t>20</w:t>
      </w:r>
      <w:r w:rsidRPr="007C1A1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822441" w:rsidRPr="007C1A1B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C25A50" w:rsidRPr="007C1A1B" w:rsidRDefault="00C25A50" w:rsidP="00C25A50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</w:rPr>
        <w:t>Considerando a Deliberação Plenária DPO/RS nº 1155/2020, a qual dispõe sobre a realização de reuniões de Comissões ou Colegiados, Conselho Diretor ou Plenária do CAU/RS por meio de sistema de deliberação remota durante o período de suspensão das atividades presenciais devido às medidas preventivas à COVID-19</w:t>
      </w:r>
      <w:r w:rsidRPr="007C1A1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C25A50" w:rsidRPr="007C1A1B" w:rsidRDefault="00C25A50" w:rsidP="00C25A50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C1A1B">
        <w:rPr>
          <w:rFonts w:ascii="Times New Roman" w:hAnsi="Times New Roman"/>
          <w:sz w:val="22"/>
          <w:szCs w:val="22"/>
          <w:lang w:eastAsia="pt-BR"/>
        </w:rPr>
        <w:t xml:space="preserve">Considerando a necessidade de dar continuidade à prestação do serviço pertinente à tramitação e ao julgamento dos processos ético-disciplinares, de modo a causar o mínimo impacto às partes dos processos; </w:t>
      </w:r>
    </w:p>
    <w:p w:rsidR="00C25A50" w:rsidRPr="007C1A1B" w:rsidRDefault="00C25A50" w:rsidP="00C25A50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6ABB" w:rsidRPr="007C1A1B" w:rsidRDefault="00DF6ABB" w:rsidP="00DF6A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C1A1B">
        <w:rPr>
          <w:rFonts w:ascii="Times New Roman" w:hAnsi="Times New Roman"/>
          <w:sz w:val="22"/>
          <w:szCs w:val="22"/>
          <w:lang w:eastAsia="pt-BR"/>
        </w:rPr>
        <w:t xml:space="preserve">Considerando a Deliberação nº </w:t>
      </w:r>
      <w:r w:rsidR="00C25A50" w:rsidRPr="007C1A1B">
        <w:rPr>
          <w:rFonts w:ascii="Times New Roman" w:hAnsi="Times New Roman"/>
          <w:sz w:val="22"/>
          <w:szCs w:val="22"/>
          <w:lang w:eastAsia="pt-BR"/>
        </w:rPr>
        <w:t>034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/2020 </w:t>
      </w:r>
      <w:r w:rsidR="00C25A50" w:rsidRPr="007C1A1B">
        <w:rPr>
          <w:rFonts w:ascii="Times New Roman" w:hAnsi="Times New Roman"/>
          <w:sz w:val="22"/>
          <w:szCs w:val="22"/>
          <w:lang w:eastAsia="pt-BR"/>
        </w:rPr>
        <w:t>CED</w:t>
      </w:r>
      <w:r w:rsidRPr="007C1A1B">
        <w:rPr>
          <w:rFonts w:ascii="Times New Roman" w:hAnsi="Times New Roman"/>
          <w:sz w:val="22"/>
          <w:szCs w:val="22"/>
          <w:lang w:eastAsia="pt-BR"/>
        </w:rPr>
        <w:t xml:space="preserve">-CAU/RS, que propôs </w:t>
      </w:r>
      <w:r w:rsidR="00C25A50" w:rsidRPr="007C1A1B">
        <w:rPr>
          <w:rFonts w:ascii="Times New Roman" w:hAnsi="Times New Roman"/>
          <w:sz w:val="22"/>
          <w:szCs w:val="22"/>
        </w:rPr>
        <w:t>normas que regulamentam a realização de audiências e sessões de julgamentos durante o período em que se adotam medidas restritivas e preventivas em razão do COVID-19</w:t>
      </w:r>
      <w:r w:rsidRPr="007C1A1B">
        <w:rPr>
          <w:rFonts w:ascii="Times New Roman" w:hAnsi="Times New Roman"/>
          <w:sz w:val="22"/>
          <w:szCs w:val="22"/>
          <w:lang w:eastAsia="pt-BR"/>
        </w:rPr>
        <w:t>;</w:t>
      </w:r>
    </w:p>
    <w:p w:rsidR="00DF6ABB" w:rsidRPr="007C1A1B" w:rsidRDefault="00DF6ABB" w:rsidP="00DF6AB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7C1A1B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C1A1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7C1A1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7C1A1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72C6B" w:rsidRPr="007C1A1B" w:rsidRDefault="00172C6B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53257" w:rsidRPr="007C1A1B" w:rsidRDefault="004C2F3A" w:rsidP="003D1D69">
      <w:pPr>
        <w:pStyle w:val="PargrafodaLista"/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</w:rPr>
        <w:t xml:space="preserve">Estabelecer </w:t>
      </w:r>
      <w:r w:rsidR="00153257" w:rsidRPr="007C1A1B">
        <w:rPr>
          <w:rFonts w:ascii="Times New Roman" w:hAnsi="Times New Roman"/>
          <w:sz w:val="22"/>
          <w:szCs w:val="22"/>
        </w:rPr>
        <w:t xml:space="preserve">regramento para realização de audiências de conciliação e/ou instrução, bem como sessões de julgamento através </w:t>
      </w:r>
      <w:r w:rsidRPr="007C1A1B">
        <w:rPr>
          <w:rFonts w:ascii="Times New Roman" w:hAnsi="Times New Roman"/>
          <w:sz w:val="22"/>
          <w:szCs w:val="22"/>
        </w:rPr>
        <w:t>de sistema de deliberação remota, durante o período de suspensão das atividades presenciais devido às medidas preventivas à Covid-19, conforme detalhamento a seguir:</w:t>
      </w:r>
    </w:p>
    <w:p w:rsidR="00153257" w:rsidRPr="007C1A1B" w:rsidRDefault="00153257" w:rsidP="00153257">
      <w:pPr>
        <w:shd w:val="clear" w:color="auto" w:fill="FFFFFF"/>
        <w:tabs>
          <w:tab w:val="left" w:pos="567"/>
          <w:tab w:val="left" w:pos="851"/>
          <w:tab w:val="left" w:pos="1985"/>
        </w:tabs>
        <w:ind w:left="1134"/>
        <w:jc w:val="both"/>
        <w:rPr>
          <w:rFonts w:ascii="Times New Roman" w:hAnsi="Times New Roman"/>
          <w:sz w:val="22"/>
          <w:szCs w:val="22"/>
        </w:rPr>
      </w:pPr>
    </w:p>
    <w:p w:rsidR="00153257" w:rsidRPr="007C1A1B" w:rsidRDefault="00153257" w:rsidP="003D1D69">
      <w:pPr>
        <w:pStyle w:val="PargrafodaLista"/>
        <w:numPr>
          <w:ilvl w:val="1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As audiências terão duração máxima de 02 (duas) horas, podendo ser prorrogadas por igual período, nos </w:t>
      </w:r>
      <w:r w:rsidR="003D1D69" w:rsidRPr="007C1A1B">
        <w:rPr>
          <w:rFonts w:ascii="Times New Roman" w:hAnsi="Times New Roman"/>
          <w:sz w:val="22"/>
          <w:szCs w:val="22"/>
          <w:shd w:val="clear" w:color="auto" w:fill="FFFFFF"/>
        </w:rPr>
        <w:t>casos em que houver necessidade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:</w:t>
      </w:r>
    </w:p>
    <w:p w:rsidR="001F3F7F" w:rsidRPr="007C1A1B" w:rsidRDefault="001F3F7F" w:rsidP="001F3F7F">
      <w:pPr>
        <w:shd w:val="clear" w:color="auto" w:fill="FFFFFF"/>
        <w:tabs>
          <w:tab w:val="left" w:pos="567"/>
          <w:tab w:val="left" w:pos="851"/>
          <w:tab w:val="left" w:pos="1985"/>
        </w:tabs>
        <w:ind w:left="1429"/>
        <w:jc w:val="both"/>
        <w:rPr>
          <w:rFonts w:ascii="Times New Roman" w:hAnsi="Times New Roman"/>
          <w:sz w:val="22"/>
          <w:szCs w:val="22"/>
        </w:rPr>
      </w:pPr>
    </w:p>
    <w:p w:rsidR="00153257" w:rsidRPr="007C1A1B" w:rsidRDefault="003D1D69" w:rsidP="0040637A">
      <w:pPr>
        <w:numPr>
          <w:ilvl w:val="5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ind w:left="3544" w:hanging="142"/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T</w:t>
      </w:r>
      <w:r w:rsidR="00153257" w:rsidRPr="007C1A1B">
        <w:rPr>
          <w:rFonts w:ascii="Times New Roman" w:hAnsi="Times New Roman"/>
          <w:sz w:val="22"/>
          <w:szCs w:val="22"/>
          <w:shd w:val="clear" w:color="auto" w:fill="FFFFFF"/>
        </w:rPr>
        <w:t>urno matutino, às 10 horas, com primeira chamada e conexão remota às 09h45;</w:t>
      </w:r>
    </w:p>
    <w:p w:rsidR="001F3F7F" w:rsidRPr="007C1A1B" w:rsidRDefault="001F3F7F" w:rsidP="001F3F7F">
      <w:pPr>
        <w:shd w:val="clear" w:color="auto" w:fill="FFFFFF"/>
        <w:tabs>
          <w:tab w:val="left" w:pos="567"/>
          <w:tab w:val="left" w:pos="851"/>
          <w:tab w:val="left" w:pos="1985"/>
        </w:tabs>
        <w:ind w:left="3949"/>
        <w:jc w:val="both"/>
        <w:rPr>
          <w:rFonts w:ascii="Times New Roman" w:hAnsi="Times New Roman"/>
          <w:sz w:val="22"/>
          <w:szCs w:val="22"/>
        </w:rPr>
      </w:pPr>
    </w:p>
    <w:p w:rsidR="00153257" w:rsidRPr="007C1A1B" w:rsidRDefault="003D1D69" w:rsidP="0040637A">
      <w:pPr>
        <w:numPr>
          <w:ilvl w:val="5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ind w:left="3544" w:hanging="142"/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T</w:t>
      </w:r>
      <w:r w:rsidR="00153257" w:rsidRPr="007C1A1B">
        <w:rPr>
          <w:rFonts w:ascii="Times New Roman" w:hAnsi="Times New Roman"/>
          <w:sz w:val="22"/>
          <w:szCs w:val="22"/>
          <w:shd w:val="clear" w:color="auto" w:fill="FFFFFF"/>
        </w:rPr>
        <w:t>urno vespertino, às 14 horas, com primeira chamada e conexão remota às 13h45.</w:t>
      </w:r>
    </w:p>
    <w:p w:rsidR="00153257" w:rsidRPr="007C1A1B" w:rsidRDefault="00153257" w:rsidP="00153257">
      <w:pPr>
        <w:shd w:val="clear" w:color="auto" w:fill="FFFFFF"/>
        <w:tabs>
          <w:tab w:val="left" w:pos="567"/>
          <w:tab w:val="left" w:pos="851"/>
          <w:tab w:val="left" w:pos="1985"/>
        </w:tabs>
        <w:ind w:left="4669"/>
        <w:jc w:val="both"/>
        <w:rPr>
          <w:rFonts w:ascii="Times New Roman" w:hAnsi="Times New Roman"/>
          <w:sz w:val="22"/>
          <w:szCs w:val="22"/>
        </w:rPr>
      </w:pPr>
    </w:p>
    <w:p w:rsidR="00153257" w:rsidRPr="007C1A1B" w:rsidRDefault="00153257" w:rsidP="0040637A">
      <w:pPr>
        <w:pStyle w:val="PargrafodaLista"/>
        <w:numPr>
          <w:ilvl w:val="1"/>
          <w:numId w:val="15"/>
        </w:numPr>
        <w:shd w:val="clear" w:color="auto" w:fill="FFFFFF"/>
        <w:tabs>
          <w:tab w:val="left" w:pos="567"/>
          <w:tab w:val="left" w:pos="851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A ata será redigida e registrada de forma eletrônica, devendo constar todas eventuais ocorrências de problemas técnicos que prejudiquem ou interrompam a participação dos envolvidos</w:t>
      </w:r>
      <w:r w:rsidR="0040637A" w:rsidRPr="007C1A1B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F3F7F" w:rsidRPr="007C1A1B" w:rsidRDefault="001F3F7F" w:rsidP="001F3F7F">
      <w:pPr>
        <w:pStyle w:val="PargrafodaLista"/>
        <w:shd w:val="clear" w:color="auto" w:fill="FFFFFF"/>
        <w:tabs>
          <w:tab w:val="left" w:pos="567"/>
          <w:tab w:val="left" w:pos="851"/>
          <w:tab w:val="left" w:pos="1985"/>
        </w:tabs>
        <w:ind w:left="1789"/>
        <w:jc w:val="both"/>
        <w:rPr>
          <w:rFonts w:ascii="Times New Roman" w:hAnsi="Times New Roman"/>
          <w:sz w:val="22"/>
          <w:szCs w:val="22"/>
        </w:rPr>
      </w:pPr>
    </w:p>
    <w:p w:rsidR="00153257" w:rsidRPr="007C1A1B" w:rsidRDefault="00153257" w:rsidP="0040637A">
      <w:pPr>
        <w:pStyle w:val="PargrafodaLista"/>
        <w:numPr>
          <w:ilvl w:val="2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O conteúdo da ata deverá ser aprovado pelos participantes por meio do sistema remoto, registrando-se qualquer ressalva que venha a ser apontada; no caso de impossibilidade de se efetuar a aprovação por meio eletrônico, o fato deverá ser registrado pela assessoria responsável por redigir o documento</w:t>
      </w:r>
      <w:r w:rsidR="0040637A" w:rsidRPr="007C1A1B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F3F7F" w:rsidRPr="007C1A1B" w:rsidRDefault="001F3F7F" w:rsidP="001F3F7F">
      <w:pPr>
        <w:pStyle w:val="PargrafodaLista"/>
        <w:tabs>
          <w:tab w:val="left" w:pos="993"/>
          <w:tab w:val="left" w:pos="1418"/>
        </w:tabs>
        <w:ind w:left="250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F3F7F" w:rsidRPr="007C1A1B" w:rsidRDefault="00153257" w:rsidP="001F3F7F">
      <w:pPr>
        <w:pStyle w:val="PargrafodaLista"/>
        <w:numPr>
          <w:ilvl w:val="2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A ata da audiência </w:t>
      </w:r>
      <w:r w:rsidR="00E635FF" w:rsidRPr="007C1A1B">
        <w:rPr>
          <w:rFonts w:ascii="Times New Roman" w:hAnsi="Times New Roman"/>
          <w:sz w:val="22"/>
          <w:szCs w:val="22"/>
          <w:shd w:val="clear" w:color="auto" w:fill="FFFFFF"/>
        </w:rPr>
        <w:t>será assinada digitalmente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, pelo Conse</w:t>
      </w:r>
      <w:r w:rsidR="00E635FF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lheiro </w:t>
      </w:r>
      <w:r w:rsidR="0040637A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responsável por presidir a </w:t>
      </w:r>
      <w:r w:rsidR="00E635FF" w:rsidRPr="007C1A1B">
        <w:rPr>
          <w:rFonts w:ascii="Times New Roman" w:hAnsi="Times New Roman"/>
          <w:sz w:val="22"/>
          <w:szCs w:val="22"/>
          <w:shd w:val="clear" w:color="auto" w:fill="FFFFFF"/>
        </w:rPr>
        <w:t>audiência</w:t>
      </w:r>
      <w:r w:rsidR="0040637A" w:rsidRPr="007C1A1B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E635FF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pela assessoria </w:t>
      </w:r>
      <w:r w:rsidR="0040637A" w:rsidRPr="007C1A1B">
        <w:rPr>
          <w:rFonts w:ascii="Times New Roman" w:hAnsi="Times New Roman"/>
          <w:sz w:val="22"/>
          <w:szCs w:val="22"/>
          <w:shd w:val="clear" w:color="auto" w:fill="FFFFFF"/>
        </w:rPr>
        <w:t>da CED-CAU/RS, presente na audiência e pelas partes e/ou seus procuradores, caso possuam certificação digital válida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1F3F7F" w:rsidRPr="007C1A1B" w:rsidRDefault="001F3F7F" w:rsidP="001F3F7F">
      <w:pPr>
        <w:pStyle w:val="PargrafodaLista"/>
        <w:tabs>
          <w:tab w:val="left" w:pos="993"/>
          <w:tab w:val="left" w:pos="1418"/>
        </w:tabs>
        <w:ind w:left="250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F3F7F" w:rsidRPr="007C1A1B" w:rsidRDefault="001F3F7F" w:rsidP="001F3F7F">
      <w:pPr>
        <w:pStyle w:val="PargrafodaLista"/>
        <w:numPr>
          <w:ilvl w:val="1"/>
          <w:numId w:val="15"/>
        </w:numPr>
        <w:tabs>
          <w:tab w:val="left" w:pos="993"/>
          <w:tab w:val="left" w:pos="1418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7C1A1B">
        <w:rPr>
          <w:rFonts w:ascii="Times New Roman" w:hAnsi="Times New Roman"/>
          <w:sz w:val="22"/>
          <w:szCs w:val="22"/>
          <w:shd w:val="clear" w:color="auto" w:fill="FFFFFF"/>
        </w:rPr>
        <w:t>não</w:t>
      </w:r>
      <w:proofErr w:type="gramEnd"/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havendo possibilidade de realização das audiências por meio de videoconferência, essas poderão ser convertidas em questionário a ser enviado diretamente para parte ou testemunha, garantindo-se à parte contrária o conhecimento prévio e o aditamento do questionário, bem como o contraditório sobre as manifestações apresentadas, nos termos do art. 37, § 8º, da Resolução CAU/BR nº 143/2017.</w:t>
      </w:r>
    </w:p>
    <w:p w:rsidR="001F3F7F" w:rsidRPr="007C1A1B" w:rsidRDefault="001F3F7F" w:rsidP="001F3F7F">
      <w:pPr>
        <w:pStyle w:val="PargrafodaLista"/>
        <w:tabs>
          <w:tab w:val="left" w:pos="993"/>
          <w:tab w:val="left" w:pos="1418"/>
        </w:tabs>
        <w:ind w:left="250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D1D69" w:rsidRPr="007C1A1B" w:rsidRDefault="0040637A" w:rsidP="003D1D69">
      <w:pPr>
        <w:pStyle w:val="PargrafodaLista"/>
        <w:numPr>
          <w:ilvl w:val="1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As sessões de julgamento dos processos ético-disciplinares, </w:t>
      </w:r>
      <w:r w:rsidR="003D1D69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pelo 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Plenário do CAU/RS, serão realizadas 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>conforme o Calendário Geral 2020, podendo ser inseridos na pauta da pautados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ab/>
        <w:t>, no máximo, 2 (dois) processos;</w:t>
      </w:r>
    </w:p>
    <w:p w:rsidR="001F3F7F" w:rsidRPr="007C1A1B" w:rsidRDefault="001F3F7F" w:rsidP="001F3F7F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D1D69" w:rsidRPr="007C1A1B" w:rsidRDefault="0040637A" w:rsidP="003D1D69">
      <w:pPr>
        <w:pStyle w:val="PargrafodaLista"/>
        <w:numPr>
          <w:ilvl w:val="2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A manifestação oral, de que trata o art. 50, § 6º, da Resolução CAU/BR nº 143/2017 poderá ser substituída por memoriais escritos, os quais devem ser apresentados com antecedência mínima de 07 (sete) dias quanto</w:t>
      </w:r>
      <w:r w:rsidR="003D1D69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à data da sessão de julgamento;</w:t>
      </w:r>
    </w:p>
    <w:p w:rsidR="003D1D69" w:rsidRPr="007C1A1B" w:rsidRDefault="003D1D69" w:rsidP="003D1D69">
      <w:pPr>
        <w:pStyle w:val="PargrafodaLista"/>
        <w:tabs>
          <w:tab w:val="left" w:pos="993"/>
          <w:tab w:val="left" w:pos="1418"/>
        </w:tabs>
        <w:ind w:left="250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40637A" w:rsidRPr="007C1A1B" w:rsidRDefault="0040637A" w:rsidP="003D1D69">
      <w:pPr>
        <w:pStyle w:val="PargrafodaLista"/>
        <w:numPr>
          <w:ilvl w:val="2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Na hipótese de qualquer das partes pretender a realização de manifestação oral, citada no parágrafo anterior, ou manifestar o interesse de acompanhamento presencial, deverá informar à Secretaria Geral da Mesa do CAU/RS, no prazo de 48 (quarenta e oito) horas antes da sessão de julgamento, por meio eletrônico, para que o processo seja retirado de pauta e reincluído somente após a normalização do expediente.</w:t>
      </w:r>
    </w:p>
    <w:p w:rsidR="0040637A" w:rsidRPr="007C1A1B" w:rsidRDefault="0040637A" w:rsidP="003D1D69">
      <w:pPr>
        <w:pStyle w:val="PargrafodaLista"/>
        <w:tabs>
          <w:tab w:val="left" w:pos="993"/>
          <w:tab w:val="left" w:pos="1418"/>
        </w:tabs>
        <w:ind w:left="106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F3F7F" w:rsidRPr="007C1A1B" w:rsidRDefault="00153257" w:rsidP="001F3F7F">
      <w:pPr>
        <w:pStyle w:val="PargrafodaLista"/>
        <w:numPr>
          <w:ilvl w:val="1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Todas as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audiências e sessões de julgamento 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serão gravadas, integralmente, 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pelo sistema de deliberação remota 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e o seu conteúdo será disponibilizado às partes interessadas</w:t>
      </w:r>
      <w:r w:rsidR="001F3F7F" w:rsidRPr="007C1A1B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F3F7F" w:rsidRPr="007C1A1B" w:rsidRDefault="001F3F7F" w:rsidP="001F3F7F">
      <w:pPr>
        <w:pStyle w:val="PargrafodaLista"/>
        <w:tabs>
          <w:tab w:val="left" w:pos="993"/>
          <w:tab w:val="left" w:pos="1418"/>
        </w:tabs>
        <w:ind w:left="178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F3F7F" w:rsidRPr="007C1A1B" w:rsidRDefault="00153257" w:rsidP="001F3F7F">
      <w:pPr>
        <w:pStyle w:val="PargrafodaLista"/>
        <w:numPr>
          <w:ilvl w:val="1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Caberá aos participantes (partes, procuradores, testemunhas e outros) a utilização de equipamento (notebooks ou desktops) e internet próprios, os quais deverão possibilitar a transmissão simultânea de imagens e áudio, bem como a transmissão e o recebimento de documentos.</w:t>
      </w:r>
    </w:p>
    <w:p w:rsidR="001F3F7F" w:rsidRPr="007C1A1B" w:rsidRDefault="001F3F7F" w:rsidP="001F3F7F">
      <w:pPr>
        <w:pStyle w:val="PargrafodaLista"/>
        <w:tabs>
          <w:tab w:val="left" w:pos="993"/>
          <w:tab w:val="left" w:pos="1418"/>
        </w:tabs>
        <w:ind w:left="1789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53257" w:rsidRPr="007C1A1B" w:rsidRDefault="00153257" w:rsidP="001F3F7F">
      <w:pPr>
        <w:pStyle w:val="PargrafodaLista"/>
        <w:numPr>
          <w:ilvl w:val="1"/>
          <w:numId w:val="15"/>
        </w:numPr>
        <w:tabs>
          <w:tab w:val="left" w:pos="993"/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A eventual indisponibilidade de equipamento ou internet deverá ser comunicada </w:t>
      </w:r>
      <w:r w:rsidR="007C1A1B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à 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assessoria da CED-CAU/</w:t>
      </w:r>
      <w:r w:rsidR="007C1A1B" w:rsidRPr="007C1A1B">
        <w:rPr>
          <w:rFonts w:ascii="Times New Roman" w:hAnsi="Times New Roman"/>
          <w:sz w:val="22"/>
          <w:szCs w:val="22"/>
          <w:shd w:val="clear" w:color="auto" w:fill="FFFFFF"/>
        </w:rPr>
        <w:t>RS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com antecedência mínima de 03 (três) dias da data designada para a realização da audiência</w:t>
      </w:r>
      <w:r w:rsidR="007C1A1B" w:rsidRPr="007C1A1B">
        <w:rPr>
          <w:rFonts w:ascii="Times New Roman" w:hAnsi="Times New Roman"/>
          <w:sz w:val="22"/>
          <w:szCs w:val="22"/>
          <w:shd w:val="clear" w:color="auto" w:fill="FFFFFF"/>
        </w:rPr>
        <w:t xml:space="preserve"> ou sessão de julgamento</w:t>
      </w:r>
      <w:r w:rsidRPr="007C1A1B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153257" w:rsidRPr="007C1A1B" w:rsidRDefault="00153257" w:rsidP="007C1A1B">
      <w:pPr>
        <w:tabs>
          <w:tab w:val="left" w:pos="993"/>
          <w:tab w:val="left" w:pos="1418"/>
        </w:tabs>
        <w:jc w:val="both"/>
        <w:rPr>
          <w:rFonts w:ascii="Times New Roman" w:hAnsi="Times New Roman"/>
          <w:vanish/>
          <w:sz w:val="22"/>
          <w:szCs w:val="22"/>
          <w:shd w:val="clear" w:color="auto" w:fill="FFFFFF"/>
        </w:rPr>
      </w:pPr>
    </w:p>
    <w:p w:rsidR="00A427EF" w:rsidRPr="007C1A1B" w:rsidRDefault="00A427EF" w:rsidP="00153257">
      <w:pPr>
        <w:pStyle w:val="PargrafodaLista"/>
        <w:tabs>
          <w:tab w:val="left" w:pos="426"/>
        </w:tabs>
        <w:spacing w:after="120"/>
        <w:ind w:left="1789"/>
        <w:jc w:val="both"/>
        <w:rPr>
          <w:rFonts w:ascii="Times New Roman" w:hAnsi="Times New Roman"/>
          <w:sz w:val="22"/>
          <w:szCs w:val="22"/>
        </w:rPr>
      </w:pPr>
    </w:p>
    <w:p w:rsidR="00B71B12" w:rsidRPr="007C1A1B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C1A1B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7C1A1B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69382D" w:rsidRPr="001D0CA0" w:rsidRDefault="0069382D" w:rsidP="0069382D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18 (dezoito)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Flores.</w:t>
      </w:r>
    </w:p>
    <w:p w:rsidR="00BF1FEF" w:rsidRPr="007C1A1B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7C1A1B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7C1A1B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7C1A1B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7C1A1B">
        <w:rPr>
          <w:rFonts w:ascii="Times New Roman" w:hAnsi="Times New Roman"/>
          <w:sz w:val="22"/>
          <w:szCs w:val="22"/>
        </w:rPr>
        <w:t>29</w:t>
      </w:r>
      <w:r w:rsidR="005579C1" w:rsidRPr="007C1A1B">
        <w:rPr>
          <w:rFonts w:ascii="Times New Roman" w:hAnsi="Times New Roman"/>
          <w:sz w:val="22"/>
          <w:szCs w:val="22"/>
        </w:rPr>
        <w:t xml:space="preserve"> de </w:t>
      </w:r>
      <w:r w:rsidR="00E7666F" w:rsidRPr="007C1A1B">
        <w:rPr>
          <w:rFonts w:ascii="Times New Roman" w:hAnsi="Times New Roman"/>
          <w:sz w:val="22"/>
          <w:szCs w:val="22"/>
        </w:rPr>
        <w:t xml:space="preserve">maio </w:t>
      </w:r>
      <w:r w:rsidRPr="007C1A1B">
        <w:rPr>
          <w:rFonts w:ascii="Times New Roman" w:hAnsi="Times New Roman"/>
          <w:sz w:val="22"/>
          <w:szCs w:val="22"/>
        </w:rPr>
        <w:t xml:space="preserve">de </w:t>
      </w:r>
      <w:r w:rsidR="005D6DF2" w:rsidRPr="007C1A1B">
        <w:rPr>
          <w:rFonts w:ascii="Times New Roman" w:hAnsi="Times New Roman"/>
          <w:sz w:val="22"/>
          <w:szCs w:val="22"/>
        </w:rPr>
        <w:t>2020</w:t>
      </w:r>
      <w:r w:rsidRPr="007C1A1B">
        <w:rPr>
          <w:rFonts w:ascii="Times New Roman" w:hAnsi="Times New Roman"/>
          <w:sz w:val="22"/>
          <w:szCs w:val="22"/>
        </w:rPr>
        <w:t>.</w:t>
      </w:r>
    </w:p>
    <w:p w:rsidR="0019498C" w:rsidRPr="007C1A1B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7C1A1B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7C1A1B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C1A1B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7C1A1B" w:rsidRDefault="007615D7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7C1A1B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42939" w:rsidRPr="007C1A1B" w:rsidRDefault="00F42939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C1A1B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A427EF" w:rsidRPr="007C1A1B" w:rsidRDefault="00A427EF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553D16" w:rsidRPr="0031489F" w:rsidTr="0058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553D16" w:rsidRPr="0031489F" w:rsidRDefault="00553D16" w:rsidP="00553D1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19"/>
                <w:szCs w:val="19"/>
              </w:rPr>
              <w:t>2/2020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53D16" w:rsidRPr="0031489F" w:rsidRDefault="00553D16" w:rsidP="0058472A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553D16" w:rsidRPr="0031489F" w:rsidRDefault="00553D16" w:rsidP="0058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553D16" w:rsidRPr="0031489F" w:rsidRDefault="00553D16" w:rsidP="0058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553D16" w:rsidRPr="0031489F" w:rsidRDefault="00553D16" w:rsidP="0058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553D16" w:rsidRPr="0031489F" w:rsidRDefault="00553D16" w:rsidP="0058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553D16" w:rsidRPr="0031489F" w:rsidRDefault="00553D16" w:rsidP="0058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16:33:13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16:33:36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16:33:12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16:33:23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16:33:30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16:33:44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16:33:55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16:34:10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16:38:16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16:38:20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16:33:07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16:33:20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16:33:26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16:33:32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16:33:42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16:33:50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16:33:08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16:33:19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16:33:32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16:33:35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16:33:33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16:33:43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16:33:20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16:33:27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16:33:27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16:33:30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16:34:03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16:34:09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16:34:17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16:34:31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16:33:17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16:33:23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16:33:13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16:33:17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53D16" w:rsidRPr="0031489F" w:rsidTr="005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53D16" w:rsidRPr="00553D16" w:rsidRDefault="00553D16" w:rsidP="00553D1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16:33:30</w:t>
            </w:r>
          </w:p>
        </w:tc>
        <w:tc>
          <w:tcPr>
            <w:tcW w:w="1559" w:type="dxa"/>
            <w:vAlign w:val="bottom"/>
          </w:tcPr>
          <w:p w:rsidR="00553D16" w:rsidRPr="00553D16" w:rsidRDefault="00553D16" w:rsidP="00553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5/29/20 16:33:34</w:t>
            </w:r>
          </w:p>
        </w:tc>
        <w:tc>
          <w:tcPr>
            <w:tcW w:w="3051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553D16" w:rsidRPr="00553D16" w:rsidRDefault="00553D16" w:rsidP="0055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3D1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553D16" w:rsidRPr="0031489F" w:rsidRDefault="00553D16" w:rsidP="00553D16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553D16" w:rsidRPr="0031489F" w:rsidRDefault="00553D16" w:rsidP="00553D1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right" w:tblpY="81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553D16" w:rsidRPr="0031489F" w:rsidTr="0069382D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553D16" w:rsidRPr="0031489F" w:rsidTr="0069382D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31489F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53D16" w:rsidRPr="0031489F" w:rsidTr="0069382D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31489F">
              <w:rPr>
                <w:rFonts w:ascii="Times New Roman" w:hAnsi="Times New Roman"/>
                <w:sz w:val="18"/>
              </w:rPr>
              <w:t>29/05/2020</w:t>
            </w:r>
          </w:p>
          <w:p w:rsidR="00553D16" w:rsidRPr="0031489F" w:rsidRDefault="00553D16" w:rsidP="0058472A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553D16" w:rsidRPr="00553D16" w:rsidRDefault="00553D16" w:rsidP="00553D16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1172/2020 –</w:t>
            </w:r>
            <w:r>
              <w:t xml:space="preserve"> </w:t>
            </w:r>
            <w:r w:rsidRPr="00553D16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Estabelece normas para a realização de audiências e sessões de julgamentos devido às medidas preventivas à pandemia da COVID-19.</w:t>
            </w:r>
          </w:p>
          <w:p w:rsidR="00553D16" w:rsidRPr="0069382D" w:rsidRDefault="00553D16" w:rsidP="0058472A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</w:p>
        </w:tc>
      </w:tr>
      <w:tr w:rsidR="00553D16" w:rsidRPr="0031489F" w:rsidTr="0069382D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 w:rsidR="004A5238">
              <w:rPr>
                <w:rFonts w:ascii="Times New Roman" w:hAnsi="Times New Roman"/>
                <w:sz w:val="18"/>
              </w:rPr>
              <w:t>18</w:t>
            </w:r>
            <w:proofErr w:type="gramStart"/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53D16" w:rsidRPr="0031489F" w:rsidTr="0069382D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="004A5238">
              <w:rPr>
                <w:rFonts w:ascii="Times New Roman" w:hAnsi="Times New Roman"/>
                <w:sz w:val="18"/>
              </w:rPr>
              <w:t>sem registros.</w:t>
            </w: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53D16" w:rsidRPr="0031489F" w:rsidRDefault="00553D16" w:rsidP="0058472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53D16" w:rsidRPr="0031489F" w:rsidTr="0069382D">
        <w:trPr>
          <w:trHeight w:val="161"/>
        </w:trPr>
        <w:tc>
          <w:tcPr>
            <w:tcW w:w="5389" w:type="dxa"/>
            <w:shd w:val="clear" w:color="auto" w:fill="auto"/>
          </w:tcPr>
          <w:p w:rsidR="00553D16" w:rsidRPr="0031489F" w:rsidRDefault="00553D16" w:rsidP="0058472A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553D16" w:rsidRPr="0031489F" w:rsidRDefault="00553D16" w:rsidP="0058472A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31489F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 da Silva</w:t>
            </w:r>
          </w:p>
        </w:tc>
      </w:tr>
    </w:tbl>
    <w:p w:rsidR="00553D16" w:rsidRPr="0031489F" w:rsidRDefault="00553D16" w:rsidP="00553D16">
      <w:pPr>
        <w:rPr>
          <w:rFonts w:ascii="Times New Roman" w:hAnsi="Times New Roman"/>
          <w:sz w:val="22"/>
          <w:szCs w:val="22"/>
        </w:rPr>
      </w:pPr>
    </w:p>
    <w:p w:rsidR="00553D16" w:rsidRPr="0031489F" w:rsidRDefault="00553D16" w:rsidP="00553D16">
      <w:pPr>
        <w:rPr>
          <w:rFonts w:ascii="Times New Roman" w:hAnsi="Times New Roman"/>
          <w:sz w:val="22"/>
          <w:szCs w:val="22"/>
        </w:rPr>
      </w:pPr>
    </w:p>
    <w:p w:rsidR="00553D16" w:rsidRPr="0031489F" w:rsidRDefault="00553D16" w:rsidP="00553D16">
      <w:pPr>
        <w:rPr>
          <w:rFonts w:ascii="Times New Roman" w:hAnsi="Times New Roman"/>
          <w:sz w:val="22"/>
          <w:szCs w:val="22"/>
        </w:rPr>
      </w:pPr>
    </w:p>
    <w:p w:rsidR="00BF1FEF" w:rsidRPr="007C1A1B" w:rsidRDefault="00BF1FEF" w:rsidP="00553D16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7C1A1B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5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5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1452D7"/>
    <w:multiLevelType w:val="hybridMultilevel"/>
    <w:tmpl w:val="1354D376"/>
    <w:lvl w:ilvl="0" w:tplc="7E586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EC4A6D3E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6669314">
      <w:start w:val="1"/>
      <w:numFmt w:val="lowerLetter"/>
      <w:lvlText w:val="%2."/>
      <w:lvlJc w:val="left"/>
      <w:pPr>
        <w:ind w:left="1789" w:hanging="360"/>
      </w:pPr>
      <w:rPr>
        <w:rFonts w:asciiTheme="minorHAnsi" w:eastAsia="Cambria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7">
      <w:start w:val="1"/>
      <w:numFmt w:val="lowerLetter"/>
      <w:lvlText w:val="%5)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398B"/>
    <w:rsid w:val="00133AD2"/>
    <w:rsid w:val="00135D65"/>
    <w:rsid w:val="00151155"/>
    <w:rsid w:val="001517E3"/>
    <w:rsid w:val="00153257"/>
    <w:rsid w:val="00156D19"/>
    <w:rsid w:val="00170CA0"/>
    <w:rsid w:val="00172C6B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3F7F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1D69"/>
    <w:rsid w:val="003E1111"/>
    <w:rsid w:val="003E4DD8"/>
    <w:rsid w:val="003E69DA"/>
    <w:rsid w:val="003F1946"/>
    <w:rsid w:val="003F5088"/>
    <w:rsid w:val="00404409"/>
    <w:rsid w:val="0040637A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A5238"/>
    <w:rsid w:val="004B3023"/>
    <w:rsid w:val="004B5A5C"/>
    <w:rsid w:val="004B6057"/>
    <w:rsid w:val="004C2F3A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3D16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382D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5FB1"/>
    <w:rsid w:val="006F6327"/>
    <w:rsid w:val="0072118C"/>
    <w:rsid w:val="00731BBD"/>
    <w:rsid w:val="007375FB"/>
    <w:rsid w:val="00740E14"/>
    <w:rsid w:val="00750C46"/>
    <w:rsid w:val="0075194D"/>
    <w:rsid w:val="00761571"/>
    <w:rsid w:val="007615D7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1A1B"/>
    <w:rsid w:val="007C50BE"/>
    <w:rsid w:val="00805FC1"/>
    <w:rsid w:val="0081283D"/>
    <w:rsid w:val="008210AB"/>
    <w:rsid w:val="00822441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01D"/>
    <w:rsid w:val="00BA026F"/>
    <w:rsid w:val="00BB5E13"/>
    <w:rsid w:val="00BB7EDB"/>
    <w:rsid w:val="00BC73B6"/>
    <w:rsid w:val="00BF1FEF"/>
    <w:rsid w:val="00C038EA"/>
    <w:rsid w:val="00C12C4A"/>
    <w:rsid w:val="00C15B9D"/>
    <w:rsid w:val="00C226BE"/>
    <w:rsid w:val="00C25A50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25107"/>
    <w:rsid w:val="00D32E81"/>
    <w:rsid w:val="00D34C38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DF6AB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35FF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55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1101-6FB3-417B-81C0-C916628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18</cp:revision>
  <cp:lastPrinted>2019-10-25T17:16:00Z</cp:lastPrinted>
  <dcterms:created xsi:type="dcterms:W3CDTF">2020-05-28T17:58:00Z</dcterms:created>
  <dcterms:modified xsi:type="dcterms:W3CDTF">2020-06-02T18:47:00Z</dcterms:modified>
</cp:coreProperties>
</file>