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90FF2" w:rsidRPr="00A80005" w:rsidTr="004B05E6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A80005" w:rsidRDefault="0079059B" w:rsidP="004C4F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4C4FD8">
              <w:rPr>
                <w:rFonts w:ascii="Times New Roman" w:hAnsi="Times New Roman"/>
                <w:sz w:val="22"/>
                <w:szCs w:val="22"/>
              </w:rPr>
              <w:t>54863</w:t>
            </w:r>
            <w:r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E90FF2" w:rsidRPr="00A80005" w:rsidTr="004B05E6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4C4FD8" w:rsidP="004B05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FÁBIO DOS SANTOS MARCONI</w:t>
            </w:r>
          </w:p>
        </w:tc>
      </w:tr>
      <w:tr w:rsidR="00E90FF2" w:rsidRPr="00A80005" w:rsidTr="00DF0223">
        <w:trPr>
          <w:gridAfter w:val="1"/>
          <w:wAfter w:w="25" w:type="dxa"/>
          <w:trHeight w:hRule="exact" w:val="437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E90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DF0223" w:rsidP="00DA76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0223">
              <w:rPr>
                <w:rFonts w:ascii="Times New Roman" w:hAnsi="Times New Roman"/>
                <w:sz w:val="22"/>
                <w:szCs w:val="22"/>
              </w:rPr>
              <w:t>Homologa o Registro de Direito Autora</w:t>
            </w:r>
            <w:r>
              <w:rPr>
                <w:rFonts w:ascii="Times New Roman" w:hAnsi="Times New Roman"/>
                <w:sz w:val="22"/>
                <w:szCs w:val="22"/>
              </w:rPr>
              <w:t>l registrado no CAU/RS sob o n</w:t>
            </w:r>
            <w:r w:rsidR="00F9605D">
              <w:rPr>
                <w:rFonts w:ascii="Times New Roman" w:hAnsi="Times New Roman"/>
                <w:sz w:val="22"/>
                <w:szCs w:val="22"/>
              </w:rPr>
              <w:t xml:space="preserve">º </w:t>
            </w:r>
            <w:r w:rsidR="0079059B">
              <w:rPr>
                <w:rFonts w:ascii="Times New Roman" w:hAnsi="Times New Roman"/>
                <w:sz w:val="22"/>
                <w:szCs w:val="22"/>
              </w:rPr>
              <w:t>18</w:t>
            </w:r>
            <w:r w:rsidR="00DA76CF">
              <w:rPr>
                <w:rFonts w:ascii="Times New Roman" w:hAnsi="Times New Roman"/>
                <w:sz w:val="22"/>
                <w:szCs w:val="22"/>
              </w:rPr>
              <w:t>4</w:t>
            </w:r>
            <w:r w:rsidR="0079059B">
              <w:rPr>
                <w:rFonts w:ascii="Times New Roman" w:hAnsi="Times New Roman"/>
                <w:sz w:val="22"/>
                <w:szCs w:val="22"/>
              </w:rPr>
              <w:t>9</w:t>
            </w:r>
            <w:r w:rsidR="00DB16B9" w:rsidRPr="0034353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0FF2" w:rsidRPr="006F3487" w:rsidTr="004B05E6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90FF2" w:rsidRPr="006F3487" w:rsidRDefault="00E90FF2" w:rsidP="00E90FF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79059B">
              <w:rPr>
                <w:rFonts w:ascii="Times New Roman" w:hAnsi="Times New Roman"/>
                <w:b/>
                <w:sz w:val="22"/>
                <w:szCs w:val="22"/>
              </w:rPr>
              <w:t xml:space="preserve"> 11</w:t>
            </w:r>
            <w:r w:rsidR="007146C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5082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57EE3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bookmarkStart w:id="0" w:name="_GoBack"/>
            <w:bookmarkEnd w:id="0"/>
          </w:p>
        </w:tc>
      </w:tr>
    </w:tbl>
    <w:p w:rsidR="00E90FF2" w:rsidRDefault="00E90FF2" w:rsidP="005455AE">
      <w:pPr>
        <w:ind w:right="275"/>
        <w:jc w:val="both"/>
        <w:rPr>
          <w:rFonts w:ascii="Times New Roman" w:hAnsi="Times New Roman"/>
          <w:b/>
        </w:rPr>
      </w:pPr>
    </w:p>
    <w:p w:rsidR="005826E1" w:rsidRPr="005826E1" w:rsidRDefault="00DF0223" w:rsidP="005826E1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DF0223">
        <w:rPr>
          <w:rFonts w:ascii="Times New Roman" w:hAnsi="Times New Roman"/>
          <w:sz w:val="20"/>
          <w:szCs w:val="22"/>
        </w:rPr>
        <w:t>Homologa o Registro de Direito Autoral reg</w:t>
      </w:r>
      <w:r w:rsidR="00F9605D">
        <w:rPr>
          <w:rFonts w:ascii="Times New Roman" w:hAnsi="Times New Roman"/>
          <w:sz w:val="20"/>
          <w:szCs w:val="22"/>
        </w:rPr>
        <w:t xml:space="preserve">istrado no CAU/RS sob o nº </w:t>
      </w:r>
      <w:r w:rsidR="00DA76CF">
        <w:rPr>
          <w:rFonts w:ascii="Times New Roman" w:hAnsi="Times New Roman"/>
          <w:sz w:val="20"/>
          <w:szCs w:val="22"/>
        </w:rPr>
        <w:t>184</w:t>
      </w:r>
      <w:r w:rsidR="0079059B">
        <w:rPr>
          <w:rFonts w:ascii="Times New Roman" w:hAnsi="Times New Roman"/>
          <w:sz w:val="20"/>
          <w:szCs w:val="22"/>
        </w:rPr>
        <w:t>9</w:t>
      </w:r>
      <w:r w:rsidR="005826E1" w:rsidRPr="005826E1">
        <w:rPr>
          <w:rFonts w:ascii="Times New Roman" w:hAnsi="Times New Roman"/>
          <w:sz w:val="20"/>
          <w:szCs w:val="22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79059B" w:rsidRPr="00A42D24" w:rsidRDefault="0079059B" w:rsidP="007905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D24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A42D24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A42D24">
        <w:rPr>
          <w:rFonts w:ascii="Times New Roman" w:hAnsi="Times New Roman"/>
          <w:sz w:val="22"/>
          <w:szCs w:val="22"/>
          <w:lang w:eastAsia="pt-BR"/>
        </w:rPr>
        <w:t>, no dia 26 de junho de 2020, após análise do assunto em epígrafe, e</w:t>
      </w:r>
    </w:p>
    <w:p w:rsidR="0079059B" w:rsidRPr="00A42D24" w:rsidRDefault="0079059B" w:rsidP="007905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0223" w:rsidRPr="00A42D24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Considerando que o artigo 7º, X, da Lei n.º 9.610/1998, dispõe: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(...)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 xml:space="preserve">X - </w:t>
      </w:r>
      <w:proofErr w:type="gramStart"/>
      <w:r w:rsidRPr="00A42D24">
        <w:rPr>
          <w:rFonts w:ascii="Times New Roman" w:hAnsi="Times New Roman"/>
          <w:sz w:val="22"/>
          <w:szCs w:val="22"/>
        </w:rPr>
        <w:t>os</w:t>
      </w:r>
      <w:proofErr w:type="gramEnd"/>
      <w:r w:rsidRPr="00A42D24">
        <w:rPr>
          <w:rFonts w:ascii="Times New Roman" w:hAnsi="Times New Roman"/>
          <w:sz w:val="22"/>
          <w:szCs w:val="22"/>
        </w:rPr>
        <w:t xml:space="preserve"> projetos, esboços e obras plásticas concernentes à geografia, engenharia, topografia, arquitetura, paisagismo, cenografia e ciência;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(...)”.</w:t>
      </w:r>
    </w:p>
    <w:p w:rsidR="00DF0223" w:rsidRPr="00A42D24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A42D24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Considerando que a Resolução n.º 67 do CAU/BR determina, em seus artigos 8º e 9º que: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§ 1° A CEP-CAU/UF, quando julgar necessário, poderá efetuar diligências ou requisitar outros documentos para subsidiar sua análise e decisão acerca da matéria.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§ 3° É competente para o registro de obra intelectual de Arquitetura e Urbanismo o CAU/UF do local da residência do arquiteto e urbanista requerente”.</w:t>
      </w:r>
    </w:p>
    <w:p w:rsidR="00DF0223" w:rsidRPr="00A42D24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A42D24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Considerando a Deliberação Plenária n.º 600/2016, que homologou o Termo de Responsabilidade a ser assinado pelo Requerente do Registro de Direito Autoral;</w:t>
      </w:r>
    </w:p>
    <w:p w:rsidR="00DF0223" w:rsidRPr="00A42D24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A42D24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Considerando que o artigo 12, da Resolução nº 67 do CAU/BR, determina que: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“Art. 12. Deferido o registro, este será cadastrado no SICCAU com os seguintes dados: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A42D24">
        <w:rPr>
          <w:rFonts w:ascii="Times New Roman" w:hAnsi="Times New Roman"/>
          <w:sz w:val="22"/>
          <w:szCs w:val="22"/>
        </w:rPr>
        <w:t>número</w:t>
      </w:r>
      <w:proofErr w:type="gramEnd"/>
      <w:r w:rsidRPr="00A42D24">
        <w:rPr>
          <w:rFonts w:ascii="Times New Roman" w:hAnsi="Times New Roman"/>
          <w:sz w:val="22"/>
          <w:szCs w:val="22"/>
        </w:rPr>
        <w:t xml:space="preserve"> de ordem;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Pr="00A42D24">
        <w:rPr>
          <w:rFonts w:ascii="Times New Roman" w:hAnsi="Times New Roman"/>
          <w:sz w:val="22"/>
          <w:szCs w:val="22"/>
        </w:rPr>
        <w:t>data</w:t>
      </w:r>
      <w:proofErr w:type="gramEnd"/>
      <w:r w:rsidRPr="00A42D24">
        <w:rPr>
          <w:rFonts w:ascii="Times New Roman" w:hAnsi="Times New Roman"/>
          <w:sz w:val="22"/>
          <w:szCs w:val="22"/>
        </w:rPr>
        <w:t xml:space="preserve"> do registro;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III - identificação do autor ou, se for o caso, dos coautores;</w:t>
      </w:r>
    </w:p>
    <w:p w:rsidR="00DF0223" w:rsidRPr="00A42D24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 xml:space="preserve">IV - </w:t>
      </w:r>
      <w:proofErr w:type="gramStart"/>
      <w:r w:rsidRPr="00A42D24">
        <w:rPr>
          <w:rFonts w:ascii="Times New Roman" w:hAnsi="Times New Roman"/>
          <w:sz w:val="22"/>
          <w:szCs w:val="22"/>
        </w:rPr>
        <w:t>identificação e descrição</w:t>
      </w:r>
      <w:proofErr w:type="gramEnd"/>
      <w:r w:rsidRPr="00A42D24">
        <w:rPr>
          <w:rFonts w:ascii="Times New Roman" w:hAnsi="Times New Roman"/>
          <w:sz w:val="22"/>
          <w:szCs w:val="22"/>
        </w:rPr>
        <w:t xml:space="preserve"> da obra intelectual registrada”.</w:t>
      </w:r>
    </w:p>
    <w:p w:rsidR="0034353D" w:rsidRPr="00A42D24" w:rsidRDefault="0034353D" w:rsidP="0034353D">
      <w:pPr>
        <w:jc w:val="both"/>
        <w:rPr>
          <w:rFonts w:ascii="Times New Roman" w:hAnsi="Times New Roman"/>
          <w:sz w:val="22"/>
          <w:szCs w:val="22"/>
        </w:rPr>
      </w:pPr>
    </w:p>
    <w:p w:rsidR="0034353D" w:rsidRPr="00A42D24" w:rsidRDefault="0034353D" w:rsidP="0034353D">
      <w:pPr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Considerando, por fim, a Deliberaç</w:t>
      </w:r>
      <w:r w:rsidR="00DF0223" w:rsidRPr="00A42D24">
        <w:rPr>
          <w:rFonts w:ascii="Times New Roman" w:hAnsi="Times New Roman"/>
          <w:sz w:val="22"/>
          <w:szCs w:val="22"/>
        </w:rPr>
        <w:t xml:space="preserve">ão </w:t>
      </w:r>
      <w:r w:rsidRPr="00A42D24">
        <w:rPr>
          <w:rFonts w:ascii="Times New Roman" w:hAnsi="Times New Roman"/>
          <w:sz w:val="22"/>
          <w:szCs w:val="22"/>
        </w:rPr>
        <w:t xml:space="preserve">nº </w:t>
      </w:r>
      <w:r w:rsidR="0079059B" w:rsidRPr="00A42D24">
        <w:rPr>
          <w:rFonts w:ascii="Times New Roman" w:hAnsi="Times New Roman"/>
          <w:sz w:val="22"/>
          <w:szCs w:val="22"/>
        </w:rPr>
        <w:t>02</w:t>
      </w:r>
      <w:r w:rsidR="004C4FD8" w:rsidRPr="00A42D24">
        <w:rPr>
          <w:rFonts w:ascii="Times New Roman" w:hAnsi="Times New Roman"/>
          <w:sz w:val="22"/>
          <w:szCs w:val="22"/>
        </w:rPr>
        <w:t>8</w:t>
      </w:r>
      <w:r w:rsidRPr="00A42D24">
        <w:rPr>
          <w:rFonts w:ascii="Times New Roman" w:hAnsi="Times New Roman"/>
          <w:sz w:val="22"/>
          <w:szCs w:val="22"/>
        </w:rPr>
        <w:t>/20</w:t>
      </w:r>
      <w:r w:rsidR="0079059B" w:rsidRPr="00A42D24">
        <w:rPr>
          <w:rFonts w:ascii="Times New Roman" w:hAnsi="Times New Roman"/>
          <w:sz w:val="22"/>
          <w:szCs w:val="22"/>
        </w:rPr>
        <w:t>20 – CEP-CAU/RS, emitida pela Comissão de Exercício Profissional</w:t>
      </w:r>
      <w:r w:rsidRPr="00A42D24">
        <w:rPr>
          <w:rFonts w:ascii="Times New Roman" w:hAnsi="Times New Roman"/>
          <w:sz w:val="22"/>
          <w:szCs w:val="22"/>
        </w:rPr>
        <w:t>.</w:t>
      </w:r>
    </w:p>
    <w:p w:rsidR="005455AE" w:rsidRPr="00A42D24" w:rsidRDefault="005455AE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A42D24" w:rsidRDefault="000C0AF5" w:rsidP="005455AE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A42D24">
        <w:rPr>
          <w:rFonts w:ascii="Times New Roman" w:hAnsi="Times New Roman"/>
          <w:b/>
          <w:sz w:val="22"/>
          <w:szCs w:val="22"/>
        </w:rPr>
        <w:t>DELIBEROU</w:t>
      </w:r>
      <w:r w:rsidR="00101A51" w:rsidRPr="00A42D24">
        <w:rPr>
          <w:rFonts w:ascii="Times New Roman" w:hAnsi="Times New Roman"/>
          <w:b/>
          <w:sz w:val="22"/>
          <w:szCs w:val="22"/>
        </w:rPr>
        <w:t xml:space="preserve"> por</w:t>
      </w:r>
      <w:r w:rsidRPr="00A42D24">
        <w:rPr>
          <w:rFonts w:ascii="Times New Roman" w:hAnsi="Times New Roman"/>
          <w:b/>
          <w:sz w:val="22"/>
          <w:szCs w:val="22"/>
        </w:rPr>
        <w:t>:</w:t>
      </w:r>
    </w:p>
    <w:p w:rsidR="000C0AF5" w:rsidRPr="00A42D24" w:rsidRDefault="000C0AF5" w:rsidP="005455AE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DF0223" w:rsidRPr="00A42D24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>Homologar o Registro de Direito Autoral reg</w:t>
      </w:r>
      <w:r w:rsidR="00F9605D" w:rsidRPr="00A42D24">
        <w:rPr>
          <w:rFonts w:ascii="Times New Roman" w:eastAsiaTheme="minorHAnsi" w:hAnsi="Times New Roman"/>
          <w:color w:val="000000"/>
          <w:sz w:val="22"/>
          <w:szCs w:val="22"/>
        </w:rPr>
        <w:t xml:space="preserve">istrado no CAU/RS sob o n.º </w:t>
      </w:r>
      <w:r w:rsidR="0079059B" w:rsidRPr="00A42D24">
        <w:rPr>
          <w:rFonts w:ascii="Times New Roman" w:eastAsiaTheme="minorHAnsi" w:hAnsi="Times New Roman"/>
          <w:color w:val="000000"/>
          <w:sz w:val="22"/>
          <w:szCs w:val="22"/>
        </w:rPr>
        <w:t>18</w:t>
      </w:r>
      <w:r w:rsidR="004C4FD8" w:rsidRPr="00A42D24">
        <w:rPr>
          <w:rFonts w:ascii="Times New Roman" w:eastAsiaTheme="minorHAnsi" w:hAnsi="Times New Roman"/>
          <w:color w:val="000000"/>
          <w:sz w:val="22"/>
          <w:szCs w:val="22"/>
        </w:rPr>
        <w:t>4</w:t>
      </w:r>
      <w:r w:rsidR="0079059B" w:rsidRPr="00A42D24">
        <w:rPr>
          <w:rFonts w:ascii="Times New Roman" w:eastAsiaTheme="minorHAnsi" w:hAnsi="Times New Roman"/>
          <w:color w:val="000000"/>
          <w:sz w:val="22"/>
          <w:szCs w:val="22"/>
        </w:rPr>
        <w:t>9</w:t>
      </w: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>, confor</w:t>
      </w:r>
      <w:r w:rsidR="004C4FD8" w:rsidRPr="00A42D24">
        <w:rPr>
          <w:rFonts w:ascii="Times New Roman" w:eastAsiaTheme="minorHAnsi" w:hAnsi="Times New Roman"/>
          <w:color w:val="000000"/>
          <w:sz w:val="22"/>
          <w:szCs w:val="22"/>
        </w:rPr>
        <w:t>me requerimento apresentado pelo</w:t>
      </w: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 xml:space="preserve"> Arquitet</w:t>
      </w:r>
      <w:r w:rsidR="004C4FD8" w:rsidRPr="00A42D24">
        <w:rPr>
          <w:rFonts w:ascii="Times New Roman" w:eastAsiaTheme="minorHAnsi" w:hAnsi="Times New Roman"/>
          <w:color w:val="000000"/>
          <w:sz w:val="22"/>
          <w:szCs w:val="22"/>
        </w:rPr>
        <w:t>o</w:t>
      </w: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 xml:space="preserve"> e Urbanista </w:t>
      </w:r>
      <w:r w:rsidR="004C4FD8" w:rsidRPr="00A42D24">
        <w:rPr>
          <w:rFonts w:ascii="Times New Roman" w:hAnsi="Times New Roman"/>
          <w:sz w:val="22"/>
          <w:szCs w:val="22"/>
        </w:rPr>
        <w:t>FÁBIO DOS SANTOS MARCONI</w:t>
      </w: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 xml:space="preserve">, registro CAU n° </w:t>
      </w:r>
      <w:r w:rsidR="00F9605D" w:rsidRPr="00A42D24">
        <w:rPr>
          <w:rFonts w:ascii="Times New Roman" w:hAnsi="Times New Roman"/>
          <w:sz w:val="22"/>
          <w:szCs w:val="22"/>
        </w:rPr>
        <w:t>A</w:t>
      </w:r>
      <w:r w:rsidR="004C4FD8" w:rsidRPr="00A42D24">
        <w:rPr>
          <w:rFonts w:ascii="Times New Roman" w:hAnsi="Times New Roman"/>
          <w:sz w:val="22"/>
          <w:szCs w:val="22"/>
        </w:rPr>
        <w:t>26764</w:t>
      </w:r>
      <w:r w:rsidR="00F9605D" w:rsidRPr="00A42D24">
        <w:rPr>
          <w:rFonts w:ascii="Times New Roman" w:hAnsi="Times New Roman"/>
          <w:sz w:val="22"/>
          <w:szCs w:val="22"/>
        </w:rPr>
        <w:t>-</w:t>
      </w:r>
      <w:r w:rsidR="004C4FD8" w:rsidRPr="00A42D24">
        <w:rPr>
          <w:rFonts w:ascii="Times New Roman" w:hAnsi="Times New Roman"/>
          <w:sz w:val="22"/>
          <w:szCs w:val="22"/>
        </w:rPr>
        <w:t>3</w:t>
      </w: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 xml:space="preserve">, protocolado em </w:t>
      </w:r>
      <w:r w:rsidR="004C4FD8" w:rsidRPr="00A42D24">
        <w:rPr>
          <w:rFonts w:ascii="Times New Roman" w:hAnsi="Times New Roman"/>
          <w:sz w:val="22"/>
          <w:szCs w:val="22"/>
        </w:rPr>
        <w:t>10</w:t>
      </w:r>
      <w:r w:rsidRPr="00A42D24">
        <w:rPr>
          <w:rFonts w:ascii="Times New Roman" w:hAnsi="Times New Roman"/>
          <w:sz w:val="22"/>
          <w:szCs w:val="22"/>
        </w:rPr>
        <w:t xml:space="preserve"> de </w:t>
      </w:r>
      <w:r w:rsidR="004C4FD8" w:rsidRPr="00A42D24">
        <w:rPr>
          <w:rFonts w:ascii="Times New Roman" w:hAnsi="Times New Roman"/>
          <w:sz w:val="22"/>
          <w:szCs w:val="22"/>
        </w:rPr>
        <w:t xml:space="preserve">fevereiro </w:t>
      </w: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>de 20</w:t>
      </w:r>
      <w:r w:rsidR="0079059B" w:rsidRPr="00A42D24">
        <w:rPr>
          <w:rFonts w:ascii="Times New Roman" w:eastAsiaTheme="minorHAnsi" w:hAnsi="Times New Roman"/>
          <w:color w:val="000000"/>
          <w:sz w:val="22"/>
          <w:szCs w:val="22"/>
        </w:rPr>
        <w:t>20</w:t>
      </w: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>;</w:t>
      </w:r>
    </w:p>
    <w:p w:rsidR="00DF0223" w:rsidRPr="00A42D24" w:rsidRDefault="00DF0223" w:rsidP="00DF0223">
      <w:pPr>
        <w:pStyle w:val="PargrafodaLista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DF0223" w:rsidRPr="00A42D24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A42D24">
        <w:rPr>
          <w:rFonts w:ascii="Times New Roman" w:eastAsiaTheme="minorHAnsi" w:hAnsi="Times New Roman"/>
          <w:color w:val="000000"/>
          <w:sz w:val="22"/>
          <w:szCs w:val="22"/>
        </w:rPr>
        <w:t>Determinar a assinatura do Termo de Responsabilidade pelo Requerente e cadastro do Registro de Direito Autoral no SICCAU, na forma do artigo 12 da Resolução nº 67 do CAU/BR;</w:t>
      </w:r>
    </w:p>
    <w:p w:rsidR="00DF0223" w:rsidRPr="00A42D24" w:rsidRDefault="00DF0223" w:rsidP="00DF0223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055E2" w:rsidRPr="00A42D24" w:rsidRDefault="009055E2" w:rsidP="0079059B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42D24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055E2" w:rsidRPr="00A42D24" w:rsidRDefault="009055E2" w:rsidP="009055E2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A5082B" w:rsidRPr="00254B4C" w:rsidRDefault="00A5082B" w:rsidP="00A54488">
      <w:pPr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  <w:lang w:eastAsia="pt-BR"/>
        </w:rPr>
        <w:t>Com 15 (quinze) votos favoráveis</w:t>
      </w:r>
      <w:r w:rsidR="00A54488">
        <w:rPr>
          <w:rFonts w:ascii="Times New Roman" w:hAnsi="Times New Roman"/>
          <w:sz w:val="22"/>
          <w:szCs w:val="22"/>
          <w:lang w:eastAsia="pt-BR"/>
        </w:rPr>
        <w:t xml:space="preserve">, das Conselheiras </w:t>
      </w:r>
      <w:r w:rsidR="00A54488" w:rsidRPr="00A42D24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="00A54488" w:rsidRPr="00A42D24">
        <w:rPr>
          <w:rFonts w:ascii="Times New Roman" w:hAnsi="Times New Roman"/>
          <w:sz w:val="22"/>
          <w:szCs w:val="22"/>
        </w:rPr>
        <w:t>Sulzbach</w:t>
      </w:r>
      <w:proofErr w:type="spellEnd"/>
      <w:r w:rsidR="00A54488"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54488" w:rsidRPr="00A42D24">
        <w:rPr>
          <w:rFonts w:ascii="Times New Roman" w:hAnsi="Times New Roman"/>
          <w:sz w:val="22"/>
          <w:szCs w:val="22"/>
        </w:rPr>
        <w:t>Cé</w:t>
      </w:r>
      <w:proofErr w:type="spellEnd"/>
      <w:r w:rsidR="00A54488">
        <w:rPr>
          <w:rFonts w:ascii="Times New Roman" w:hAnsi="Times New Roman"/>
          <w:sz w:val="22"/>
          <w:szCs w:val="22"/>
        </w:rPr>
        <w:t xml:space="preserve">, </w:t>
      </w:r>
      <w:r w:rsidR="00A54488" w:rsidRPr="00A42D24">
        <w:rPr>
          <w:rFonts w:ascii="Times New Roman" w:hAnsi="Times New Roman"/>
          <w:sz w:val="22"/>
          <w:szCs w:val="22"/>
        </w:rPr>
        <w:t>Deise Flores Santos, Helenice Ma</w:t>
      </w:r>
      <w:r w:rsidR="00A54488">
        <w:rPr>
          <w:rFonts w:ascii="Times New Roman" w:hAnsi="Times New Roman"/>
          <w:sz w:val="22"/>
          <w:szCs w:val="22"/>
        </w:rPr>
        <w:t xml:space="preserve">cedo do Couto, </w:t>
      </w:r>
      <w:r w:rsidR="00A54488" w:rsidRPr="00A42D24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A54488" w:rsidRPr="00A42D24">
        <w:rPr>
          <w:rFonts w:ascii="Times New Roman" w:hAnsi="Times New Roman"/>
          <w:sz w:val="22"/>
          <w:szCs w:val="22"/>
        </w:rPr>
        <w:t>Rhoden</w:t>
      </w:r>
      <w:proofErr w:type="spellEnd"/>
      <w:r w:rsidR="00A54488"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54488" w:rsidRPr="00A42D24">
        <w:rPr>
          <w:rFonts w:ascii="Times New Roman" w:hAnsi="Times New Roman"/>
          <w:sz w:val="22"/>
          <w:szCs w:val="22"/>
        </w:rPr>
        <w:t>Bresolin</w:t>
      </w:r>
      <w:proofErr w:type="spellEnd"/>
      <w:r w:rsidR="00A54488">
        <w:rPr>
          <w:rFonts w:ascii="Times New Roman" w:hAnsi="Times New Roman"/>
          <w:sz w:val="22"/>
          <w:szCs w:val="22"/>
        </w:rPr>
        <w:t xml:space="preserve"> e Roberta Krahe Edelweiss e </w:t>
      </w:r>
      <w:r w:rsidRPr="00A42D24">
        <w:rPr>
          <w:rFonts w:ascii="Times New Roman" w:hAnsi="Times New Roman"/>
          <w:sz w:val="22"/>
          <w:szCs w:val="22"/>
          <w:lang w:eastAsia="pt-BR"/>
        </w:rPr>
        <w:t>dos conselheiros</w:t>
      </w:r>
      <w:r w:rsidRPr="00A42D24">
        <w:rPr>
          <w:rFonts w:ascii="Times New Roman" w:hAnsi="Times New Roman"/>
          <w:sz w:val="22"/>
          <w:szCs w:val="22"/>
        </w:rPr>
        <w:t xml:space="preserve"> Alexandre Couto Giorgi, Carlos Fabiano Santos Pitzer, </w:t>
      </w:r>
      <w:r w:rsidR="00254B4C">
        <w:rPr>
          <w:rFonts w:ascii="Times New Roman" w:hAnsi="Times New Roman"/>
          <w:sz w:val="22"/>
          <w:szCs w:val="22"/>
        </w:rPr>
        <w:t xml:space="preserve">José Arthur Fell, </w:t>
      </w:r>
      <w:proofErr w:type="spellStart"/>
      <w:r w:rsidRPr="00A42D24">
        <w:rPr>
          <w:rFonts w:ascii="Times New Roman" w:hAnsi="Times New Roman"/>
          <w:sz w:val="22"/>
          <w:szCs w:val="22"/>
        </w:rPr>
        <w:t>Oritz</w:t>
      </w:r>
      <w:proofErr w:type="spellEnd"/>
      <w:r w:rsidRPr="00A42D24">
        <w:rPr>
          <w:rFonts w:ascii="Times New Roman" w:hAnsi="Times New Roman"/>
          <w:sz w:val="22"/>
          <w:szCs w:val="22"/>
        </w:rPr>
        <w:t xml:space="preserve"> Adriano Adams de Campos, Paulo Fernando do Amaral Fontana, Emílio Merino Dominguez,  Roberto Luiz </w:t>
      </w:r>
      <w:proofErr w:type="spellStart"/>
      <w:r w:rsidRPr="00A42D24">
        <w:rPr>
          <w:rFonts w:ascii="Times New Roman" w:hAnsi="Times New Roman"/>
          <w:sz w:val="22"/>
          <w:szCs w:val="22"/>
        </w:rPr>
        <w:t>Decó</w:t>
      </w:r>
      <w:proofErr w:type="spellEnd"/>
      <w:r w:rsidRPr="00A42D24">
        <w:rPr>
          <w:rFonts w:ascii="Times New Roman" w:hAnsi="Times New Roman"/>
          <w:sz w:val="22"/>
          <w:szCs w:val="22"/>
        </w:rPr>
        <w:t>, Rodrigo Spinelli, Rômulo Plentz Giralt e Vinicius Vieira de Souza e 03 (três) ausências</w:t>
      </w:r>
      <w:r w:rsidR="00A54488">
        <w:rPr>
          <w:rFonts w:ascii="Times New Roman" w:hAnsi="Times New Roman"/>
          <w:sz w:val="22"/>
          <w:szCs w:val="22"/>
        </w:rPr>
        <w:t xml:space="preserve">, da Conselheira </w:t>
      </w:r>
      <w:r w:rsidR="00A54488" w:rsidRPr="00A42D24">
        <w:rPr>
          <w:rFonts w:ascii="Times New Roman" w:hAnsi="Times New Roman"/>
          <w:sz w:val="22"/>
          <w:szCs w:val="22"/>
        </w:rPr>
        <w:t xml:space="preserve">Renata Camilo </w:t>
      </w:r>
      <w:proofErr w:type="spellStart"/>
      <w:r w:rsidR="00A54488" w:rsidRPr="00A42D24">
        <w:rPr>
          <w:rFonts w:ascii="Times New Roman" w:hAnsi="Times New Roman"/>
          <w:sz w:val="22"/>
          <w:szCs w:val="22"/>
        </w:rPr>
        <w:t>Maraschin</w:t>
      </w:r>
      <w:proofErr w:type="spellEnd"/>
      <w:r w:rsidR="00A54488" w:rsidRPr="00A42D24">
        <w:rPr>
          <w:rFonts w:ascii="Times New Roman" w:hAnsi="Times New Roman"/>
          <w:sz w:val="22"/>
          <w:szCs w:val="22"/>
        </w:rPr>
        <w:t xml:space="preserve"> </w:t>
      </w:r>
      <w:r w:rsidR="00A54488">
        <w:rPr>
          <w:rFonts w:ascii="Times New Roman" w:hAnsi="Times New Roman"/>
          <w:sz w:val="22"/>
          <w:szCs w:val="22"/>
        </w:rPr>
        <w:t xml:space="preserve">e </w:t>
      </w:r>
      <w:r w:rsidRPr="00A42D24">
        <w:rPr>
          <w:rFonts w:ascii="Times New Roman" w:hAnsi="Times New Roman"/>
          <w:sz w:val="22"/>
          <w:szCs w:val="22"/>
        </w:rPr>
        <w:t xml:space="preserve">dos conselheiros </w:t>
      </w:r>
      <w:proofErr w:type="spellStart"/>
      <w:r w:rsidRPr="00A42D24">
        <w:rPr>
          <w:rFonts w:ascii="Times New Roman" w:hAnsi="Times New Roman"/>
          <w:sz w:val="22"/>
          <w:szCs w:val="22"/>
        </w:rPr>
        <w:t>Alvino</w:t>
      </w:r>
      <w:proofErr w:type="spellEnd"/>
      <w:r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2D24">
        <w:rPr>
          <w:rFonts w:ascii="Times New Roman" w:hAnsi="Times New Roman"/>
          <w:sz w:val="22"/>
          <w:szCs w:val="22"/>
        </w:rPr>
        <w:t>Jara</w:t>
      </w:r>
      <w:proofErr w:type="spellEnd"/>
      <w:r w:rsidR="00A54488">
        <w:rPr>
          <w:rFonts w:ascii="Times New Roman" w:hAnsi="Times New Roman"/>
          <w:sz w:val="22"/>
          <w:szCs w:val="22"/>
        </w:rPr>
        <w:t xml:space="preserve"> </w:t>
      </w:r>
      <w:r w:rsidRPr="00A42D24">
        <w:rPr>
          <w:rFonts w:ascii="Times New Roman" w:hAnsi="Times New Roman"/>
          <w:sz w:val="22"/>
          <w:szCs w:val="22"/>
        </w:rPr>
        <w:t xml:space="preserve">e Matias </w:t>
      </w:r>
      <w:proofErr w:type="spellStart"/>
      <w:r w:rsidRPr="00A42D24">
        <w:rPr>
          <w:rFonts w:ascii="Times New Roman" w:hAnsi="Times New Roman"/>
          <w:sz w:val="22"/>
          <w:szCs w:val="22"/>
        </w:rPr>
        <w:t>Revello</w:t>
      </w:r>
      <w:proofErr w:type="spellEnd"/>
      <w:r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2D24">
        <w:rPr>
          <w:rFonts w:ascii="Times New Roman" w:hAnsi="Times New Roman"/>
          <w:sz w:val="22"/>
          <w:szCs w:val="22"/>
        </w:rPr>
        <w:t>Vazquez</w:t>
      </w:r>
      <w:proofErr w:type="spellEnd"/>
      <w:r w:rsidRPr="00A42D24">
        <w:rPr>
          <w:rFonts w:ascii="Times New Roman" w:hAnsi="Times New Roman"/>
          <w:sz w:val="22"/>
          <w:szCs w:val="22"/>
        </w:rPr>
        <w:t>.</w:t>
      </w:r>
    </w:p>
    <w:p w:rsidR="00B62786" w:rsidRPr="00A42D24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B62786" w:rsidRPr="00A42D24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B62786" w:rsidRPr="00A42D24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B62786" w:rsidRPr="00A42D24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79059B" w:rsidRPr="00A42D24" w:rsidRDefault="0079059B" w:rsidP="0079059B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</w:rPr>
        <w:t>Porto Alegre – RS, 26 de junho de 2020.</w:t>
      </w:r>
    </w:p>
    <w:p w:rsidR="0079059B" w:rsidRPr="00A42D24" w:rsidRDefault="0079059B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059B" w:rsidRPr="00A42D24" w:rsidRDefault="0079059B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62786" w:rsidRDefault="00B62786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E01E6" w:rsidRPr="00A42D24" w:rsidRDefault="008E01E6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62786" w:rsidRPr="00A42D24" w:rsidRDefault="00B62786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059B" w:rsidRPr="00A42D24" w:rsidRDefault="0079059B" w:rsidP="0079059B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A42D24">
        <w:rPr>
          <w:rFonts w:ascii="Times New Roman" w:hAnsi="Times New Roman"/>
          <w:b/>
          <w:bCs/>
          <w:sz w:val="22"/>
          <w:szCs w:val="22"/>
        </w:rPr>
        <w:tab/>
        <w:t xml:space="preserve">TIAGO HOLZMANN DA SILVA </w:t>
      </w:r>
      <w:r w:rsidRPr="00A42D24">
        <w:rPr>
          <w:rFonts w:ascii="Times New Roman" w:hAnsi="Times New Roman"/>
          <w:b/>
          <w:bCs/>
          <w:sz w:val="22"/>
          <w:szCs w:val="22"/>
        </w:rPr>
        <w:tab/>
      </w:r>
    </w:p>
    <w:p w:rsidR="0079059B" w:rsidRPr="00A42D24" w:rsidRDefault="00057EE3" w:rsidP="0079059B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33C4D062D8894D89A546A3849C4DE9A0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79059B" w:rsidRPr="00A42D24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34353D" w:rsidRDefault="0079059B" w:rsidP="0079059B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 xml:space="preserve"> </w:t>
      </w:r>
      <w:r w:rsidR="008A7B21" w:rsidRPr="00DF0223">
        <w:rPr>
          <w:rFonts w:ascii="Times New Roman" w:hAnsi="Times New Roman"/>
          <w:sz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79059B" w:rsidRPr="00AC7EEE" w:rsidRDefault="0079059B" w:rsidP="0079059B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79059B" w:rsidRDefault="0079059B" w:rsidP="0079059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79059B" w:rsidRPr="00141D12" w:rsidTr="00B6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79059B" w:rsidRPr="00141D12" w:rsidRDefault="0079059B" w:rsidP="00B61BA2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</w:t>
            </w:r>
            <w:r w:rsidR="004C4FD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1179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/2020 - PROTOCOLO Nº </w:t>
            </w:r>
            <w:r w:rsidR="00A26C03" w:rsidRPr="00A26C03">
              <w:rPr>
                <w:rFonts w:ascii="Times New Roman" w:hAnsi="Times New Roman"/>
                <w:color w:val="auto"/>
                <w:sz w:val="19"/>
                <w:szCs w:val="19"/>
              </w:rPr>
              <w:t>1054863/2020</w:t>
            </w:r>
          </w:p>
        </w:tc>
      </w:tr>
      <w:tr w:rsidR="0079059B" w:rsidRPr="00141D12" w:rsidTr="00B6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79059B" w:rsidRPr="00141D12" w:rsidRDefault="0079059B" w:rsidP="00B61BA2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14:29:47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14:29:51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14:29:51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14:29:55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14:29:52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14:29:56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14:29:57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14:30:02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14:29:56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14:30:05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14:30:04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14:30:07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14:30:14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14:30:31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14:30:15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14:30:40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14:30:38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14:30:42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14:31:00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14:31:04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14:31:06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14:31:24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14:30:26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14:33:25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14:34:32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14:34:36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14:34:36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14:34:43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A5082B" w:rsidRPr="00141D12" w:rsidTr="0062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A5082B" w:rsidRPr="00A5082B" w:rsidRDefault="00A5082B" w:rsidP="00A5082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14:35:30</w:t>
            </w:r>
          </w:p>
        </w:tc>
        <w:tc>
          <w:tcPr>
            <w:tcW w:w="1559" w:type="dxa"/>
            <w:vAlign w:val="bottom"/>
          </w:tcPr>
          <w:p w:rsidR="00A5082B" w:rsidRPr="00A5082B" w:rsidRDefault="00A5082B" w:rsidP="00A508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6/26/20 14:35:33</w:t>
            </w:r>
          </w:p>
        </w:tc>
        <w:tc>
          <w:tcPr>
            <w:tcW w:w="3051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A5082B" w:rsidRPr="00A5082B" w:rsidRDefault="00A5082B" w:rsidP="00A5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79059B" w:rsidRPr="00AC7EEE" w:rsidRDefault="0079059B" w:rsidP="0079059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79059B" w:rsidRDefault="0079059B" w:rsidP="0079059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79059B" w:rsidRDefault="0079059B" w:rsidP="0079059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8731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Pr="00A5082B" w:rsidRDefault="0079059B" w:rsidP="00B61BA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b/>
                <w:sz w:val="18"/>
                <w:szCs w:val="18"/>
              </w:rPr>
              <w:t xml:space="preserve">Data: 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>26/06/2020</w:t>
            </w:r>
          </w:p>
          <w:p w:rsidR="0079059B" w:rsidRPr="00A5082B" w:rsidRDefault="0079059B" w:rsidP="00B61BA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9059B" w:rsidRPr="00A5082B" w:rsidRDefault="0079059B" w:rsidP="00B61BA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b/>
                <w:sz w:val="18"/>
                <w:szCs w:val="18"/>
              </w:rPr>
              <w:t xml:space="preserve">Matéria em votação: 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 xml:space="preserve"> DPO/RS nº 117</w:t>
            </w:r>
            <w:r w:rsidR="004C4FD8" w:rsidRPr="00A5082B">
              <w:rPr>
                <w:rFonts w:ascii="Times New Roman" w:hAnsi="Times New Roman"/>
                <w:sz w:val="18"/>
                <w:szCs w:val="18"/>
              </w:rPr>
              <w:t>9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 xml:space="preserve">/2020 – Homologa o Registro de Direito Autoral registrado no CAU/RS sob o nº </w:t>
            </w:r>
            <w:r w:rsidR="004C4FD8" w:rsidRPr="00A5082B">
              <w:rPr>
                <w:rFonts w:ascii="Times New Roman" w:hAnsi="Times New Roman"/>
                <w:sz w:val="18"/>
                <w:szCs w:val="18"/>
              </w:rPr>
              <w:t>184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>9.</w:t>
            </w:r>
          </w:p>
          <w:p w:rsidR="0079059B" w:rsidRPr="00A5082B" w:rsidRDefault="0079059B" w:rsidP="00B61BA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59B" w:rsidRPr="00141D12" w:rsidTr="00B61BA2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79059B" w:rsidRPr="00A5082B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082B">
              <w:rPr>
                <w:rFonts w:ascii="Times New Roman" w:hAnsi="Times New Roman"/>
                <w:b/>
                <w:sz w:val="18"/>
                <w:szCs w:val="18"/>
              </w:rPr>
              <w:t xml:space="preserve">Resultado da votação: Sim 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>(</w:t>
            </w:r>
            <w:r w:rsidR="00A5082B" w:rsidRPr="00A5082B">
              <w:rPr>
                <w:rFonts w:ascii="Times New Roman" w:hAnsi="Times New Roman"/>
                <w:sz w:val="18"/>
                <w:szCs w:val="18"/>
              </w:rPr>
              <w:t>15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5082B">
              <w:rPr>
                <w:rFonts w:ascii="Times New Roman" w:hAnsi="Times New Roman"/>
                <w:b/>
                <w:sz w:val="18"/>
                <w:szCs w:val="18"/>
              </w:rPr>
              <w:t xml:space="preserve">Não </w:t>
            </w:r>
            <w:proofErr w:type="gramStart"/>
            <w:r w:rsidRPr="00A5082B">
              <w:rPr>
                <w:rFonts w:ascii="Times New Roman" w:hAnsi="Times New Roman"/>
                <w:sz w:val="18"/>
                <w:szCs w:val="18"/>
              </w:rPr>
              <w:t>( )</w:t>
            </w:r>
            <w:proofErr w:type="gramEnd"/>
            <w:r w:rsidRPr="00A50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082B">
              <w:rPr>
                <w:rFonts w:ascii="Times New Roman" w:hAnsi="Times New Roman"/>
                <w:b/>
                <w:sz w:val="18"/>
                <w:szCs w:val="18"/>
              </w:rPr>
              <w:t xml:space="preserve">Abstenções 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 xml:space="preserve">() </w:t>
            </w:r>
            <w:r w:rsidRPr="00A5082B">
              <w:rPr>
                <w:rFonts w:ascii="Times New Roman" w:hAnsi="Times New Roman"/>
                <w:b/>
                <w:sz w:val="18"/>
                <w:szCs w:val="18"/>
              </w:rPr>
              <w:t xml:space="preserve">Ausências 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>(</w:t>
            </w:r>
            <w:r w:rsidR="00A5082B" w:rsidRPr="00A5082B">
              <w:rPr>
                <w:rFonts w:ascii="Times New Roman" w:hAnsi="Times New Roman"/>
                <w:sz w:val="18"/>
                <w:szCs w:val="18"/>
              </w:rPr>
              <w:t>03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5082B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  <w:r w:rsidRPr="00A5082B">
              <w:rPr>
                <w:rFonts w:ascii="Times New Roman" w:hAnsi="Times New Roman"/>
                <w:sz w:val="18"/>
                <w:szCs w:val="18"/>
              </w:rPr>
              <w:t>(18)</w:t>
            </w:r>
          </w:p>
          <w:p w:rsidR="0079059B" w:rsidRPr="00A5082B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79059B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5389" w:type="dxa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79059B" w:rsidRPr="00141D12" w:rsidRDefault="0079059B" w:rsidP="00B61BA2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Holzmann da Silva    </w:t>
            </w:r>
          </w:p>
        </w:tc>
      </w:tr>
    </w:tbl>
    <w:p w:rsidR="0079059B" w:rsidRPr="00AC7EEE" w:rsidRDefault="0079059B" w:rsidP="0079059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79059B" w:rsidRDefault="0079059B" w:rsidP="0079059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E06B09" w:rsidRPr="006F3487" w:rsidRDefault="00E06B09" w:rsidP="00B62786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79059B" w:rsidP="004C27A6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117</w:t>
    </w:r>
    <w:r w:rsidR="004C4FD8">
      <w:rPr>
        <w:rFonts w:ascii="Arial" w:hAnsi="Arial"/>
        <w:color w:val="296D7A"/>
        <w:sz w:val="18"/>
      </w:rPr>
      <w:t>9</w:t>
    </w:r>
    <w:r w:rsidRPr="002D614C">
      <w:rPr>
        <w:rFonts w:ascii="Arial" w:hAnsi="Arial"/>
        <w:color w:val="296D7A"/>
        <w:sz w:val="18"/>
      </w:rPr>
      <w:t>/2020</w:t>
    </w:r>
    <w:r w:rsidR="005544D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57EE3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28C9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54B4C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4353D"/>
    <w:rsid w:val="003533D1"/>
    <w:rsid w:val="00353975"/>
    <w:rsid w:val="00355CCF"/>
    <w:rsid w:val="00356D3C"/>
    <w:rsid w:val="0035761B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3F4CB2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7A6"/>
    <w:rsid w:val="004C2AEE"/>
    <w:rsid w:val="004C4FD8"/>
    <w:rsid w:val="004E5752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826E1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72704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146C8"/>
    <w:rsid w:val="00715040"/>
    <w:rsid w:val="007250BD"/>
    <w:rsid w:val="00742555"/>
    <w:rsid w:val="00751372"/>
    <w:rsid w:val="0075615C"/>
    <w:rsid w:val="007657A6"/>
    <w:rsid w:val="0077681C"/>
    <w:rsid w:val="0079059B"/>
    <w:rsid w:val="0079103E"/>
    <w:rsid w:val="00791EFE"/>
    <w:rsid w:val="00796A95"/>
    <w:rsid w:val="007A5EB5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5A3A"/>
    <w:rsid w:val="008A7B21"/>
    <w:rsid w:val="008B147F"/>
    <w:rsid w:val="008B7025"/>
    <w:rsid w:val="008C3A72"/>
    <w:rsid w:val="008D4E17"/>
    <w:rsid w:val="008D5C60"/>
    <w:rsid w:val="008E01E6"/>
    <w:rsid w:val="008E02C7"/>
    <w:rsid w:val="008E10AD"/>
    <w:rsid w:val="008E5E24"/>
    <w:rsid w:val="008F62F9"/>
    <w:rsid w:val="00901807"/>
    <w:rsid w:val="00904731"/>
    <w:rsid w:val="009055E2"/>
    <w:rsid w:val="00923054"/>
    <w:rsid w:val="0092393C"/>
    <w:rsid w:val="00964726"/>
    <w:rsid w:val="00985691"/>
    <w:rsid w:val="0099031C"/>
    <w:rsid w:val="009976BE"/>
    <w:rsid w:val="009A77F2"/>
    <w:rsid w:val="009B393D"/>
    <w:rsid w:val="009B6004"/>
    <w:rsid w:val="009D1E5F"/>
    <w:rsid w:val="009E2C03"/>
    <w:rsid w:val="00A003CE"/>
    <w:rsid w:val="00A012DF"/>
    <w:rsid w:val="00A10AE9"/>
    <w:rsid w:val="00A26C03"/>
    <w:rsid w:val="00A30544"/>
    <w:rsid w:val="00A3336E"/>
    <w:rsid w:val="00A35EDD"/>
    <w:rsid w:val="00A41814"/>
    <w:rsid w:val="00A42D24"/>
    <w:rsid w:val="00A43FB2"/>
    <w:rsid w:val="00A443C9"/>
    <w:rsid w:val="00A5082B"/>
    <w:rsid w:val="00A50EF4"/>
    <w:rsid w:val="00A54488"/>
    <w:rsid w:val="00A54A64"/>
    <w:rsid w:val="00A70DDF"/>
    <w:rsid w:val="00A80005"/>
    <w:rsid w:val="00AA6FA9"/>
    <w:rsid w:val="00AB2D89"/>
    <w:rsid w:val="00AC7399"/>
    <w:rsid w:val="00AC7EE7"/>
    <w:rsid w:val="00AF3329"/>
    <w:rsid w:val="00AF4A03"/>
    <w:rsid w:val="00B0264D"/>
    <w:rsid w:val="00B17BB6"/>
    <w:rsid w:val="00B24C53"/>
    <w:rsid w:val="00B3143D"/>
    <w:rsid w:val="00B62786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5D8B"/>
    <w:rsid w:val="00BE7136"/>
    <w:rsid w:val="00BF1CFA"/>
    <w:rsid w:val="00C06108"/>
    <w:rsid w:val="00C102D6"/>
    <w:rsid w:val="00C124BD"/>
    <w:rsid w:val="00C30983"/>
    <w:rsid w:val="00C32772"/>
    <w:rsid w:val="00C37DE3"/>
    <w:rsid w:val="00C50B47"/>
    <w:rsid w:val="00C54DE1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04D8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6CF"/>
    <w:rsid w:val="00DA7D82"/>
    <w:rsid w:val="00DB16B9"/>
    <w:rsid w:val="00DB7B90"/>
    <w:rsid w:val="00DD15F0"/>
    <w:rsid w:val="00DD4220"/>
    <w:rsid w:val="00DF0223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0FF2"/>
    <w:rsid w:val="00E91BAC"/>
    <w:rsid w:val="00EA3682"/>
    <w:rsid w:val="00EA4014"/>
    <w:rsid w:val="00EA7B3B"/>
    <w:rsid w:val="00EA7FA8"/>
    <w:rsid w:val="00EC6B3A"/>
    <w:rsid w:val="00EC7D94"/>
    <w:rsid w:val="00ED2016"/>
    <w:rsid w:val="00ED4330"/>
    <w:rsid w:val="00ED4B11"/>
    <w:rsid w:val="00EE0C6B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605D"/>
    <w:rsid w:val="00FA6056"/>
    <w:rsid w:val="00FA70A1"/>
    <w:rsid w:val="00FB072C"/>
    <w:rsid w:val="00FB5050"/>
    <w:rsid w:val="00FC7320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3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  <w:style w:type="paragraph" w:customStyle="1" w:styleId="Default">
    <w:name w:val="Default"/>
    <w:rsid w:val="00E9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6Colorida">
    <w:name w:val="Grid Table 6 Colorful"/>
    <w:basedOn w:val="Tabelanormal"/>
    <w:uiPriority w:val="51"/>
    <w:rsid w:val="007905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4D062D8894D89A546A3849C4DE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01D7C-E831-43E0-8F11-18500B5398A6}"/>
      </w:docPartPr>
      <w:docPartBody>
        <w:p w:rsidR="00287907" w:rsidRDefault="000D58E1" w:rsidP="000D58E1">
          <w:pPr>
            <w:pStyle w:val="33C4D062D8894D89A546A3849C4DE9A0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E1"/>
    <w:rsid w:val="000D58E1"/>
    <w:rsid w:val="002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8E1"/>
    <w:rPr>
      <w:color w:val="808080"/>
    </w:rPr>
  </w:style>
  <w:style w:type="paragraph" w:customStyle="1" w:styleId="33C4D062D8894D89A546A3849C4DE9A0">
    <w:name w:val="33C4D062D8894D89A546A3849C4DE9A0"/>
    <w:rsid w:val="000D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3F44-C2D7-44E6-BF5A-432D6247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13</cp:revision>
  <cp:lastPrinted>2020-07-01T18:32:00Z</cp:lastPrinted>
  <dcterms:created xsi:type="dcterms:W3CDTF">2020-06-25T16:57:00Z</dcterms:created>
  <dcterms:modified xsi:type="dcterms:W3CDTF">2020-07-01T18:35:00Z</dcterms:modified>
</cp:coreProperties>
</file>