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61"/>
        <w:gridCol w:w="7030"/>
      </w:tblGrid>
      <w:tr w:rsidR="000E089A" w:rsidRPr="0080663B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80663B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 w:rsidRPr="0080663B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80663B" w:rsidRDefault="000E089A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066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E089A" w:rsidRPr="0080663B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80663B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0663B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80663B" w:rsidRDefault="008C65AD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066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</w:p>
        </w:tc>
      </w:tr>
      <w:tr w:rsidR="000E089A" w:rsidRPr="0080663B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80663B" w:rsidRDefault="000E089A" w:rsidP="000E08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0663B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80663B" w:rsidRDefault="00F441EC" w:rsidP="006D2DB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066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Regulamento Eleitoral – Resolução</w:t>
            </w:r>
            <w:r w:rsidR="00283583" w:rsidRPr="008066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CAU/BR</w:t>
            </w:r>
            <w:r w:rsidRPr="008066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nº 179/2019</w:t>
            </w:r>
          </w:p>
        </w:tc>
      </w:tr>
    </w:tbl>
    <w:p w:rsidR="00124A49" w:rsidRPr="0080663B" w:rsidRDefault="00124A49" w:rsidP="009B054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80663B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80663B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80663B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80663B" w:rsidRPr="0080663B">
        <w:rPr>
          <w:rFonts w:ascii="Times New Roman" w:hAnsi="Times New Roman"/>
          <w:b/>
          <w:sz w:val="22"/>
          <w:szCs w:val="22"/>
          <w:lang w:eastAsia="pt-BR"/>
        </w:rPr>
        <w:t>1137</w:t>
      </w:r>
      <w:r w:rsidRPr="0080663B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A67917" w:rsidRPr="0080663B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80663B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735D6B" w:rsidRPr="0080663B" w:rsidRDefault="00735D6B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80663B" w:rsidRDefault="008B2CDA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80663B">
        <w:rPr>
          <w:rFonts w:ascii="Times New Roman" w:hAnsi="Times New Roman"/>
          <w:sz w:val="20"/>
          <w:szCs w:val="22"/>
        </w:rPr>
        <w:t>A</w:t>
      </w:r>
      <w:r w:rsidR="00E65620" w:rsidRPr="0080663B">
        <w:rPr>
          <w:rFonts w:ascii="Times New Roman" w:hAnsi="Times New Roman"/>
          <w:sz w:val="20"/>
          <w:szCs w:val="22"/>
        </w:rPr>
        <w:t xml:space="preserve">prova </w:t>
      </w:r>
      <w:r w:rsidR="00F441EC" w:rsidRPr="0080663B">
        <w:rPr>
          <w:rFonts w:ascii="Times New Roman" w:hAnsi="Times New Roman"/>
          <w:sz w:val="20"/>
          <w:szCs w:val="22"/>
        </w:rPr>
        <w:t>o encaminhamento ao CAU/BR de manifestação quanto ao Regulamento Eleitoral aprovado pela Resolução nº 179/2019</w:t>
      </w:r>
      <w:r w:rsidR="002912E6" w:rsidRPr="0080663B">
        <w:rPr>
          <w:rFonts w:ascii="Times New Roman" w:hAnsi="Times New Roman"/>
          <w:sz w:val="20"/>
          <w:szCs w:val="22"/>
        </w:rPr>
        <w:t>.</w:t>
      </w:r>
    </w:p>
    <w:p w:rsidR="00613D70" w:rsidRDefault="00613D7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30A37" w:rsidRPr="0080663B" w:rsidRDefault="00F30A37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80663B" w:rsidRDefault="00C4107B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0663B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 o</w:t>
      </w:r>
      <w:r w:rsidR="004B20B6" w:rsidRPr="0080663B">
        <w:rPr>
          <w:rFonts w:ascii="Times New Roman" w:hAnsi="Times New Roman"/>
          <w:sz w:val="22"/>
          <w:szCs w:val="22"/>
        </w:rPr>
        <w:t xml:space="preserve"> inciso</w:t>
      </w:r>
      <w:r w:rsidR="005C70A6" w:rsidRPr="0080663B">
        <w:rPr>
          <w:rFonts w:ascii="Times New Roman" w:hAnsi="Times New Roman"/>
          <w:sz w:val="22"/>
          <w:szCs w:val="22"/>
        </w:rPr>
        <w:t xml:space="preserve"> </w:t>
      </w:r>
      <w:r w:rsidR="0087017A" w:rsidRPr="0080663B">
        <w:rPr>
          <w:rFonts w:ascii="Times New Roman" w:hAnsi="Times New Roman"/>
          <w:sz w:val="22"/>
          <w:szCs w:val="22"/>
        </w:rPr>
        <w:t>LXIX</w:t>
      </w:r>
      <w:r w:rsidR="00FF026B" w:rsidRPr="0080663B">
        <w:rPr>
          <w:rFonts w:ascii="Times New Roman" w:hAnsi="Times New Roman"/>
          <w:sz w:val="22"/>
          <w:szCs w:val="22"/>
        </w:rPr>
        <w:t xml:space="preserve"> </w:t>
      </w:r>
      <w:r w:rsidR="004B20B6" w:rsidRPr="0080663B">
        <w:rPr>
          <w:rFonts w:ascii="Times New Roman" w:hAnsi="Times New Roman"/>
          <w:sz w:val="22"/>
          <w:szCs w:val="22"/>
        </w:rPr>
        <w:t>do</w:t>
      </w:r>
      <w:r w:rsidRPr="0080663B">
        <w:rPr>
          <w:rFonts w:ascii="Times New Roman" w:hAnsi="Times New Roman"/>
          <w:sz w:val="22"/>
          <w:szCs w:val="22"/>
        </w:rPr>
        <w:t xml:space="preserve"> artigo </w:t>
      </w:r>
      <w:r w:rsidR="006F24E8" w:rsidRPr="0080663B">
        <w:rPr>
          <w:rFonts w:ascii="Times New Roman" w:hAnsi="Times New Roman"/>
          <w:sz w:val="22"/>
          <w:szCs w:val="22"/>
        </w:rPr>
        <w:t>29</w:t>
      </w:r>
      <w:r w:rsidRPr="0080663B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80663B">
        <w:rPr>
          <w:rFonts w:ascii="Times New Roman" w:hAnsi="Times New Roman"/>
          <w:sz w:val="22"/>
          <w:szCs w:val="22"/>
        </w:rPr>
        <w:t>,</w:t>
      </w:r>
      <w:r w:rsidRPr="0080663B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80663B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80663B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80663B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80663B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E3473" w:rsidRPr="0080663B" w:rsidRDefault="001E3473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610A8" w:rsidRPr="0080663B" w:rsidRDefault="009610A8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0663B"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="00CB6CA9" w:rsidRPr="0080663B">
        <w:rPr>
          <w:rFonts w:ascii="Times New Roman" w:hAnsi="Times New Roman"/>
          <w:sz w:val="22"/>
          <w:szCs w:val="22"/>
          <w:lang w:eastAsia="pt-BR"/>
        </w:rPr>
        <w:t>inciso XI</w:t>
      </w:r>
      <w:r w:rsidRPr="0080663B">
        <w:rPr>
          <w:rFonts w:ascii="Times New Roman" w:hAnsi="Times New Roman"/>
          <w:sz w:val="22"/>
          <w:szCs w:val="22"/>
          <w:lang w:eastAsia="pt-BR"/>
        </w:rPr>
        <w:t xml:space="preserve"> do art. 34 da Lei 12.378/2010, o qual determina que</w:t>
      </w:r>
      <w:r w:rsidR="00CB6CA9" w:rsidRPr="0080663B">
        <w:rPr>
          <w:rFonts w:ascii="Times New Roman" w:hAnsi="Times New Roman"/>
          <w:sz w:val="22"/>
          <w:szCs w:val="22"/>
          <w:lang w:eastAsia="pt-BR"/>
        </w:rPr>
        <w:t xml:space="preserve"> compete aos </w:t>
      </w:r>
      <w:proofErr w:type="spellStart"/>
      <w:r w:rsidR="00CB6CA9" w:rsidRPr="0080663B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80663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0663B">
        <w:rPr>
          <w:rFonts w:ascii="Times New Roman" w:hAnsi="Times New Roman"/>
          <w:i/>
          <w:sz w:val="22"/>
          <w:szCs w:val="22"/>
          <w:lang w:eastAsia="pt-BR"/>
        </w:rPr>
        <w:t>“sugerir ao CAU/BR medidas destinadas a aperfeiçoar a aplicação desta lei e a promover o cumprimento de suas finalidades e a observância aos princípios estabelecidos”</w:t>
      </w:r>
      <w:r w:rsidRPr="0080663B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9610A8" w:rsidRPr="0080663B" w:rsidRDefault="009610A8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6789F" w:rsidRPr="0080663B" w:rsidRDefault="0087017A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0663B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DB6466" w:rsidRPr="0080663B">
        <w:rPr>
          <w:rFonts w:ascii="Times New Roman" w:hAnsi="Times New Roman"/>
          <w:sz w:val="22"/>
          <w:szCs w:val="22"/>
          <w:lang w:eastAsia="pt-BR"/>
        </w:rPr>
        <w:t>a Resolução nº 179, de 22 de agosto de 2019, que aprovou o Regulamento Eleitoral para as Eleições de Conselheiros Titulares e respectivos Suplentes de Conselheiro do Conselho de Arquitetura e Urbanismo do Brasil (CAU/BR) e dos Conselhos de Arquitetura e Urbanismo dos Estados e do Distrito Federal (CAU/UF);</w:t>
      </w:r>
    </w:p>
    <w:p w:rsidR="00DB6466" w:rsidRPr="0080663B" w:rsidRDefault="00DB6466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6CA9" w:rsidRPr="0080663B" w:rsidRDefault="00CB6CA9" w:rsidP="0086789F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80663B">
        <w:rPr>
          <w:rFonts w:ascii="Times New Roman" w:hAnsi="Times New Roman"/>
          <w:sz w:val="22"/>
          <w:szCs w:val="22"/>
          <w:lang w:eastAsia="pt-BR"/>
        </w:rPr>
        <w:t>Considerando que é competência do CAU/RS, definidas no art. 3º do seu Regimento Interno,</w:t>
      </w:r>
      <w:r w:rsidR="00706F5A" w:rsidRPr="0080663B">
        <w:rPr>
          <w:rFonts w:ascii="Times New Roman" w:hAnsi="Times New Roman"/>
          <w:sz w:val="22"/>
          <w:szCs w:val="22"/>
          <w:lang w:eastAsia="pt-BR"/>
        </w:rPr>
        <w:t xml:space="preserve"> sugerir ao CAU/BR</w:t>
      </w:r>
      <w:r w:rsidRPr="0080663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06F5A" w:rsidRPr="0080663B">
        <w:rPr>
          <w:rFonts w:ascii="Times New Roman" w:hAnsi="Times New Roman"/>
          <w:sz w:val="22"/>
          <w:szCs w:val="22"/>
          <w:lang w:eastAsia="pt-BR"/>
        </w:rPr>
        <w:t xml:space="preserve">medidas destinadas a aprimorar </w:t>
      </w:r>
      <w:r w:rsidRPr="0080663B">
        <w:rPr>
          <w:rFonts w:ascii="Times New Roman" w:hAnsi="Times New Roman"/>
          <w:i/>
          <w:sz w:val="22"/>
          <w:szCs w:val="22"/>
          <w:lang w:eastAsia="pt-BR"/>
        </w:rPr>
        <w:t xml:space="preserve">“IV </w:t>
      </w:r>
      <w:r w:rsidR="00706F5A" w:rsidRPr="0080663B">
        <w:rPr>
          <w:rFonts w:ascii="Times New Roman" w:hAnsi="Times New Roman"/>
          <w:i/>
          <w:sz w:val="22"/>
          <w:szCs w:val="22"/>
          <w:lang w:eastAsia="pt-BR"/>
        </w:rPr>
        <w:t>–</w:t>
      </w:r>
      <w:r w:rsidRPr="0080663B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="00706F5A" w:rsidRPr="0080663B">
        <w:rPr>
          <w:rFonts w:ascii="Times New Roman" w:hAnsi="Times New Roman"/>
          <w:i/>
          <w:sz w:val="22"/>
          <w:szCs w:val="22"/>
          <w:lang w:eastAsia="pt-BR"/>
        </w:rPr>
        <w:t>(...)</w:t>
      </w:r>
      <w:r w:rsidRPr="0080663B">
        <w:rPr>
          <w:rFonts w:ascii="Times New Roman" w:hAnsi="Times New Roman"/>
          <w:i/>
          <w:sz w:val="22"/>
          <w:szCs w:val="22"/>
          <w:lang w:eastAsia="pt-BR"/>
        </w:rPr>
        <w:t>a aplicação da Lei n° 12.378, de 2010, do Regimento Geral do CAU e dos demais atos normativos do CAU/BR, e a promover o cumprimento de suas finalidades</w:t>
      </w:r>
      <w:r w:rsidR="00706F5A" w:rsidRPr="0080663B">
        <w:rPr>
          <w:rFonts w:ascii="Times New Roman" w:hAnsi="Times New Roman"/>
          <w:i/>
          <w:sz w:val="22"/>
          <w:szCs w:val="22"/>
          <w:lang w:eastAsia="pt-BR"/>
        </w:rPr>
        <w:t>”, “VII – (...)atos normativos eleitorais”</w:t>
      </w:r>
      <w:r w:rsidR="003450A1" w:rsidRPr="0080663B">
        <w:rPr>
          <w:rFonts w:ascii="Times New Roman" w:hAnsi="Times New Roman"/>
          <w:sz w:val="22"/>
          <w:szCs w:val="22"/>
          <w:lang w:eastAsia="pt-BR"/>
        </w:rPr>
        <w:t>;</w:t>
      </w:r>
    </w:p>
    <w:p w:rsidR="00CB6CA9" w:rsidRPr="0080663B" w:rsidRDefault="00CB6CA9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466" w:rsidRPr="0080663B" w:rsidRDefault="00DB6466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80663B">
        <w:rPr>
          <w:rFonts w:ascii="Times New Roman" w:hAnsi="Times New Roman"/>
          <w:sz w:val="22"/>
          <w:szCs w:val="22"/>
          <w:lang w:eastAsia="pt-BR"/>
        </w:rPr>
        <w:t>Considerando</w:t>
      </w:r>
      <w:r w:rsidR="009C17B8" w:rsidRPr="0080663B">
        <w:rPr>
          <w:rFonts w:ascii="Times New Roman" w:hAnsi="Times New Roman"/>
          <w:sz w:val="22"/>
          <w:szCs w:val="22"/>
          <w:lang w:eastAsia="pt-BR"/>
        </w:rPr>
        <w:t xml:space="preserve"> que compete ao Plenário, conforme artigo 29 do Regimento Interno do CAU/RS, “</w:t>
      </w:r>
      <w:r w:rsidR="009C17B8" w:rsidRPr="0080663B">
        <w:rPr>
          <w:rFonts w:ascii="Times New Roman" w:eastAsiaTheme="minorHAnsi" w:hAnsi="Times New Roman"/>
          <w:i/>
          <w:sz w:val="22"/>
          <w:szCs w:val="22"/>
        </w:rPr>
        <w:t>LXIX - apreciar e deliberar sobre o aprimoramento de atos normativos eleitorais, a ser encaminhado para deliberação pelo CAU/BR</w:t>
      </w:r>
      <w:r w:rsidR="009C17B8" w:rsidRPr="0080663B">
        <w:rPr>
          <w:rFonts w:ascii="Times New Roman" w:eastAsiaTheme="minorHAnsi" w:hAnsi="Times New Roman"/>
          <w:sz w:val="22"/>
          <w:szCs w:val="22"/>
        </w:rPr>
        <w:t>”;</w:t>
      </w:r>
    </w:p>
    <w:p w:rsidR="009C17B8" w:rsidRPr="0080663B" w:rsidRDefault="009C17B8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C17B8" w:rsidRPr="0080663B" w:rsidRDefault="009C17B8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80663B">
        <w:rPr>
          <w:rFonts w:ascii="Times New Roman" w:eastAsiaTheme="minorHAnsi" w:hAnsi="Times New Roman"/>
          <w:sz w:val="22"/>
          <w:szCs w:val="22"/>
        </w:rPr>
        <w:t xml:space="preserve">Considerando </w:t>
      </w:r>
      <w:r w:rsidR="009610A8" w:rsidRPr="0080663B">
        <w:rPr>
          <w:rFonts w:ascii="Times New Roman" w:eastAsiaTheme="minorHAnsi" w:hAnsi="Times New Roman"/>
          <w:sz w:val="22"/>
          <w:szCs w:val="22"/>
        </w:rPr>
        <w:t>a Proposição nº 036/2019, firmada pelo Fórum de Fórum de Presidentes dos Conselhos de Arquitetura e Urbanismo das Unidades Federativas (CAU/</w:t>
      </w:r>
      <w:proofErr w:type="spellStart"/>
      <w:r w:rsidR="009610A8" w:rsidRPr="0080663B">
        <w:rPr>
          <w:rFonts w:ascii="Times New Roman" w:eastAsiaTheme="minorHAnsi" w:hAnsi="Times New Roman"/>
          <w:sz w:val="22"/>
          <w:szCs w:val="22"/>
        </w:rPr>
        <w:t>UFs</w:t>
      </w:r>
      <w:proofErr w:type="spellEnd"/>
      <w:r w:rsidR="009610A8" w:rsidRPr="0080663B">
        <w:rPr>
          <w:rFonts w:ascii="Times New Roman" w:eastAsiaTheme="minorHAnsi" w:hAnsi="Times New Roman"/>
          <w:sz w:val="22"/>
          <w:szCs w:val="22"/>
        </w:rPr>
        <w:t>), em 19/12/2019;</w:t>
      </w:r>
    </w:p>
    <w:p w:rsidR="0086789F" w:rsidRDefault="0086789F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30A37" w:rsidRPr="0080663B" w:rsidRDefault="00F30A37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Pr="0080663B" w:rsidRDefault="00124A49" w:rsidP="009B05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80663B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80663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80663B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80663B" w:rsidRDefault="00F46AB6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80663B">
        <w:rPr>
          <w:rFonts w:ascii="Times New Roman" w:hAnsi="Times New Roman"/>
          <w:sz w:val="22"/>
          <w:szCs w:val="22"/>
          <w:lang w:eastAsia="pt-BR"/>
        </w:rPr>
        <w:tab/>
      </w:r>
    </w:p>
    <w:p w:rsidR="00957B92" w:rsidRPr="0080663B" w:rsidRDefault="00957B92" w:rsidP="0080663B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0663B">
        <w:rPr>
          <w:rFonts w:ascii="Times New Roman" w:hAnsi="Times New Roman"/>
          <w:sz w:val="22"/>
          <w:szCs w:val="22"/>
        </w:rPr>
        <w:t xml:space="preserve">Aprovar, nos termos do Ofício PRES-CAU/RS nº 049/2020, em anexo a esta Deliberação, a manifestação do CAU/RS quanto ao Regulamento Eleitoral aprovado pela Resolução nº 179/2019, encaminhado </w:t>
      </w:r>
      <w:r w:rsidR="00790333" w:rsidRPr="0080663B">
        <w:rPr>
          <w:rFonts w:ascii="Times New Roman" w:hAnsi="Times New Roman"/>
          <w:sz w:val="22"/>
          <w:szCs w:val="22"/>
        </w:rPr>
        <w:t>ao CAU/BR pel</w:t>
      </w:r>
      <w:r w:rsidRPr="0080663B">
        <w:rPr>
          <w:rFonts w:ascii="Times New Roman" w:hAnsi="Times New Roman"/>
          <w:sz w:val="22"/>
          <w:szCs w:val="22"/>
        </w:rPr>
        <w:t>o Protocolo SICCAU nº</w:t>
      </w:r>
      <w:r w:rsidR="001B6B70" w:rsidRPr="0080663B">
        <w:rPr>
          <w:rFonts w:ascii="Times New Roman" w:hAnsi="Times New Roman"/>
          <w:sz w:val="22"/>
          <w:szCs w:val="22"/>
        </w:rPr>
        <w:t xml:space="preserve"> </w:t>
      </w:r>
      <w:r w:rsidR="002B5633" w:rsidRPr="0080663B">
        <w:rPr>
          <w:rFonts w:ascii="Times New Roman" w:hAnsi="Times New Roman"/>
          <w:sz w:val="22"/>
          <w:szCs w:val="22"/>
        </w:rPr>
        <w:t>1048413, no dia 29/01/2020.</w:t>
      </w:r>
    </w:p>
    <w:p w:rsidR="002B5633" w:rsidRPr="0080663B" w:rsidRDefault="002B5633" w:rsidP="0080663B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2E0FE5" w:rsidRPr="0080663B" w:rsidRDefault="00957B92" w:rsidP="0080663B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0663B">
        <w:rPr>
          <w:rFonts w:ascii="Times New Roman" w:hAnsi="Times New Roman"/>
          <w:sz w:val="22"/>
          <w:szCs w:val="22"/>
        </w:rPr>
        <w:t>Autorizar que o CAU/RS adote medidas administrativas e/ou judiciais junto aos órgãos competentes, visando impedir o voto de profissionais inadimplentes para com o Conselho de Arquitetura e Urbanismo</w:t>
      </w:r>
    </w:p>
    <w:p w:rsidR="007A1AAC" w:rsidRPr="0080663B" w:rsidRDefault="007A1AAC" w:rsidP="0080663B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7A1AAC" w:rsidRPr="0080663B" w:rsidRDefault="007A1AAC" w:rsidP="0080663B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0663B">
        <w:rPr>
          <w:rFonts w:ascii="Times New Roman" w:hAnsi="Times New Roman"/>
          <w:sz w:val="22"/>
          <w:szCs w:val="22"/>
        </w:rPr>
        <w:t>Encaminhar esta Deliberação ao CAU/BR.</w:t>
      </w:r>
    </w:p>
    <w:p w:rsidR="007A1AAC" w:rsidRPr="0080663B" w:rsidRDefault="007A1AAC" w:rsidP="0080663B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973052" w:rsidRPr="0080663B" w:rsidRDefault="00124A49" w:rsidP="0080663B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80663B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80663B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80663B" w:rsidRDefault="00973052" w:rsidP="008066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3D70" w:rsidRPr="0080663B" w:rsidRDefault="0080663B" w:rsidP="0080663B">
      <w:pPr>
        <w:jc w:val="both"/>
        <w:rPr>
          <w:rFonts w:ascii="Times New Roman" w:hAnsi="Times New Roman"/>
          <w:sz w:val="22"/>
          <w:szCs w:val="22"/>
        </w:rPr>
      </w:pPr>
      <w:r w:rsidRPr="0080663B">
        <w:rPr>
          <w:rFonts w:ascii="Times New Roman" w:hAnsi="Times New Roman"/>
          <w:sz w:val="22"/>
          <w:szCs w:val="22"/>
          <w:lang w:eastAsia="pt-BR"/>
        </w:rPr>
        <w:lastRenderedPageBreak/>
        <w:t xml:space="preserve">Com 13 (treze) votos favoráveis dos Conselheiros </w:t>
      </w:r>
      <w:proofErr w:type="spellStart"/>
      <w:r w:rsidRPr="0080663B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80663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80663B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80663B">
        <w:rPr>
          <w:rFonts w:ascii="Times New Roman" w:hAnsi="Times New Roman"/>
          <w:sz w:val="22"/>
          <w:szCs w:val="22"/>
          <w:lang w:eastAsia="pt-BR"/>
        </w:rPr>
        <w:t xml:space="preserve">, Claudio Fischer, Carlos Fabiano Santos Pitzer, Marisa Potter, José Arthur </w:t>
      </w:r>
      <w:proofErr w:type="spellStart"/>
      <w:r w:rsidRPr="0080663B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80663B">
        <w:rPr>
          <w:rFonts w:ascii="Times New Roman" w:hAnsi="Times New Roman"/>
          <w:sz w:val="22"/>
          <w:szCs w:val="22"/>
          <w:lang w:eastAsia="pt-BR"/>
        </w:rPr>
        <w:t xml:space="preserve">, Manoel Joaquim Tostes, Roberta </w:t>
      </w:r>
      <w:proofErr w:type="spellStart"/>
      <w:r w:rsidRPr="0080663B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80663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80663B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80663B">
        <w:rPr>
          <w:rFonts w:ascii="Times New Roman" w:hAnsi="Times New Roman"/>
          <w:sz w:val="22"/>
          <w:szCs w:val="22"/>
          <w:lang w:eastAsia="pt-BR"/>
        </w:rPr>
        <w:t xml:space="preserve">, Oritz Adriano Adams de Campos, Paulo Fernando do Amaral Fontana, Raquel </w:t>
      </w:r>
      <w:proofErr w:type="spellStart"/>
      <w:r w:rsidRPr="0080663B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80663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80663B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80663B">
        <w:rPr>
          <w:rFonts w:ascii="Times New Roman" w:hAnsi="Times New Roman"/>
          <w:sz w:val="22"/>
          <w:szCs w:val="22"/>
          <w:lang w:eastAsia="pt-BR"/>
        </w:rPr>
        <w:t xml:space="preserve">, Roberto Luiz </w:t>
      </w:r>
      <w:proofErr w:type="spellStart"/>
      <w:r w:rsidRPr="0080663B"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 w:rsidRPr="0080663B">
        <w:rPr>
          <w:rFonts w:ascii="Times New Roman" w:hAnsi="Times New Roman"/>
          <w:sz w:val="22"/>
          <w:szCs w:val="22"/>
          <w:lang w:eastAsia="pt-BR"/>
        </w:rPr>
        <w:t xml:space="preserve">, Rodrigo Spinelli, Rômulo </w:t>
      </w:r>
      <w:proofErr w:type="spellStart"/>
      <w:r w:rsidRPr="0080663B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Pr="0080663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80663B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Pr="0080663B">
        <w:rPr>
          <w:rFonts w:ascii="Times New Roman" w:hAnsi="Times New Roman"/>
          <w:sz w:val="22"/>
          <w:szCs w:val="22"/>
          <w:lang w:eastAsia="pt-BR"/>
        </w:rPr>
        <w:t xml:space="preserve"> e 05 (cinco) ausências dos Conselheiros Bernardo Henrique </w:t>
      </w:r>
      <w:proofErr w:type="spellStart"/>
      <w:r w:rsidRPr="0080663B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80663B">
        <w:rPr>
          <w:rFonts w:ascii="Times New Roman" w:hAnsi="Times New Roman"/>
          <w:sz w:val="22"/>
          <w:szCs w:val="22"/>
          <w:lang w:eastAsia="pt-BR"/>
        </w:rPr>
        <w:t>, Emílio Merino Dominguez, Alexandre Couto Giorgi, Rui Mineiro e Vinicius Vieira de Souza.</w:t>
      </w:r>
    </w:p>
    <w:p w:rsidR="0006310F" w:rsidRPr="0080663B" w:rsidRDefault="0006310F" w:rsidP="009B05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80663B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0663B">
        <w:rPr>
          <w:rFonts w:ascii="Times New Roman" w:hAnsi="Times New Roman"/>
          <w:sz w:val="22"/>
          <w:szCs w:val="22"/>
        </w:rPr>
        <w:t xml:space="preserve">Porto Alegre – RS, </w:t>
      </w:r>
      <w:r w:rsidR="0047656F" w:rsidRPr="0080663B">
        <w:rPr>
          <w:rFonts w:ascii="Times New Roman" w:hAnsi="Times New Roman"/>
          <w:sz w:val="22"/>
          <w:szCs w:val="22"/>
        </w:rPr>
        <w:t>14 de fevereiro</w:t>
      </w:r>
      <w:r w:rsidR="00CB7A0B" w:rsidRPr="0080663B">
        <w:rPr>
          <w:rFonts w:ascii="Times New Roman" w:hAnsi="Times New Roman"/>
          <w:sz w:val="22"/>
          <w:szCs w:val="22"/>
        </w:rPr>
        <w:t xml:space="preserve"> </w:t>
      </w:r>
      <w:r w:rsidRPr="0080663B">
        <w:rPr>
          <w:rFonts w:ascii="Times New Roman" w:hAnsi="Times New Roman"/>
          <w:sz w:val="22"/>
          <w:szCs w:val="22"/>
        </w:rPr>
        <w:t>de 2</w:t>
      </w:r>
      <w:r w:rsidR="00CB7A0B" w:rsidRPr="0080663B">
        <w:rPr>
          <w:rFonts w:ascii="Times New Roman" w:hAnsi="Times New Roman"/>
          <w:sz w:val="22"/>
          <w:szCs w:val="22"/>
        </w:rPr>
        <w:t>020</w:t>
      </w:r>
      <w:r w:rsidRPr="0080663B">
        <w:rPr>
          <w:rFonts w:ascii="Times New Roman" w:hAnsi="Times New Roman"/>
          <w:sz w:val="22"/>
          <w:szCs w:val="22"/>
        </w:rPr>
        <w:t>.</w:t>
      </w:r>
    </w:p>
    <w:p w:rsidR="0006310F" w:rsidRPr="0080663B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80663B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80663B" w:rsidRDefault="0006310F" w:rsidP="009B05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80663B" w:rsidRDefault="00827FEC" w:rsidP="009B054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80663B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80663B" w:rsidRDefault="0006310F" w:rsidP="009B054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80663B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80663B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Pr="0080663B" w:rsidRDefault="00D677FD" w:rsidP="009B0548">
      <w:pPr>
        <w:jc w:val="center"/>
        <w:rPr>
          <w:rFonts w:ascii="Times New Roman" w:hAnsi="Times New Roman"/>
          <w:sz w:val="22"/>
          <w:szCs w:val="22"/>
        </w:rPr>
        <w:sectPr w:rsidR="00D677FD" w:rsidRPr="0080663B" w:rsidSect="00AB7E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27" w:bottom="1134" w:left="1701" w:header="1417" w:footer="567" w:gutter="0"/>
          <w:cols w:space="708"/>
          <w:docGrid w:linePitch="326"/>
        </w:sectPr>
      </w:pPr>
    </w:p>
    <w:p w:rsidR="008C460F" w:rsidRPr="0080663B" w:rsidRDefault="008C460F" w:rsidP="009B054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B7A0B" w:rsidRPr="0080663B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0663B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47656F" w:rsidRPr="0080663B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80663B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B7A0B" w:rsidRPr="0080663B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80663B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0663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80663B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80663B" w:rsidTr="000E089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80663B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663B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80663B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663B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80663B" w:rsidTr="000E089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80663B" w:rsidRDefault="00CB7A0B" w:rsidP="009B05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80663B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663B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80663B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663B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80663B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663B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80663B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663B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spellStart"/>
            <w:r w:rsidRPr="0080663B">
              <w:rPr>
                <w:rFonts w:ascii="Times New Roman" w:hAnsi="Times New Roman"/>
                <w:sz w:val="22"/>
              </w:rPr>
              <w:t>Alvino</w:t>
            </w:r>
            <w:proofErr w:type="spellEnd"/>
            <w:r w:rsidRPr="0080663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0663B">
              <w:rPr>
                <w:rFonts w:ascii="Times New Roman" w:hAnsi="Times New Roman"/>
                <w:sz w:val="22"/>
              </w:rPr>
              <w:t>Jara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 xml:space="preserve">José Arthur </w:t>
            </w:r>
            <w:proofErr w:type="spellStart"/>
            <w:r w:rsidRPr="0080663B">
              <w:rPr>
                <w:rFonts w:ascii="Times New Roman" w:hAnsi="Times New Roman"/>
                <w:sz w:val="22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 xml:space="preserve">Bernardo Henrique </w:t>
            </w:r>
            <w:proofErr w:type="spellStart"/>
            <w:r w:rsidRPr="0080663B">
              <w:rPr>
                <w:rFonts w:ascii="Times New Roman" w:hAnsi="Times New Roman"/>
                <w:sz w:val="22"/>
              </w:rPr>
              <w:t>Gehlen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 xml:space="preserve">Roberta </w:t>
            </w:r>
            <w:proofErr w:type="spellStart"/>
            <w:r w:rsidRPr="0080663B">
              <w:rPr>
                <w:rFonts w:ascii="Times New Roman" w:hAnsi="Times New Roman"/>
                <w:sz w:val="22"/>
              </w:rPr>
              <w:t>Krahe</w:t>
            </w:r>
            <w:proofErr w:type="spellEnd"/>
            <w:r w:rsidRPr="0080663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0663B">
              <w:rPr>
                <w:rFonts w:ascii="Times New Roman" w:hAnsi="Times New Roman"/>
                <w:sz w:val="22"/>
              </w:rPr>
              <w:t>Edelweiss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 xml:space="preserve">Raquel </w:t>
            </w:r>
            <w:proofErr w:type="spellStart"/>
            <w:r w:rsidRPr="0080663B">
              <w:rPr>
                <w:rFonts w:ascii="Times New Roman" w:hAnsi="Times New Roman"/>
                <w:sz w:val="22"/>
              </w:rPr>
              <w:t>Rhoden</w:t>
            </w:r>
            <w:proofErr w:type="spellEnd"/>
            <w:r w:rsidRPr="0080663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0663B">
              <w:rPr>
                <w:rFonts w:ascii="Times New Roman" w:hAnsi="Times New Roman"/>
                <w:sz w:val="22"/>
              </w:rPr>
              <w:t>Bresolin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 xml:space="preserve">Rômulo </w:t>
            </w:r>
            <w:proofErr w:type="spellStart"/>
            <w:r w:rsidRPr="0080663B">
              <w:rPr>
                <w:rFonts w:ascii="Times New Roman" w:hAnsi="Times New Roman"/>
                <w:sz w:val="22"/>
              </w:rPr>
              <w:t>Plentz</w:t>
            </w:r>
            <w:proofErr w:type="spellEnd"/>
            <w:r w:rsidRPr="0080663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0663B">
              <w:rPr>
                <w:rFonts w:ascii="Times New Roman" w:hAnsi="Times New Roman"/>
                <w:sz w:val="22"/>
              </w:rPr>
              <w:t>Giralt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0663B" w:rsidRPr="0080663B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663B" w:rsidRPr="0080663B" w:rsidRDefault="0080663B" w:rsidP="0080663B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0663B">
              <w:rPr>
                <w:rFonts w:ascii="Times New Roman" w:hAnsi="Times New Roman"/>
                <w:sz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0663B" w:rsidRPr="0080663B" w:rsidRDefault="0080663B" w:rsidP="0080663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66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8C460F" w:rsidRPr="0080663B" w:rsidRDefault="008C460F" w:rsidP="009B0548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80663B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80663B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80663B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80663B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80663B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80663B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80663B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80663B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80663B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80663B" w:rsidRDefault="008C460F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80663B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80663B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80663B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80663B" w:rsidRDefault="00CB7A0B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80663B" w:rsidRDefault="008C460F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80663B" w:rsidRPr="0080663B">
              <w:rPr>
                <w:rFonts w:ascii="Times New Roman" w:hAnsi="Times New Roman"/>
                <w:b/>
                <w:sz w:val="20"/>
                <w:szCs w:val="22"/>
              </w:rPr>
              <w:t>1137</w:t>
            </w:r>
            <w:r w:rsidRPr="0080663B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745379" w:rsidRPr="0080663B">
              <w:rPr>
                <w:rFonts w:ascii="Times New Roman" w:hAnsi="Times New Roman"/>
                <w:sz w:val="20"/>
                <w:szCs w:val="22"/>
              </w:rPr>
              <w:t>Aprova o encaminhamento ao CAU/BR de manifestação do quanto ao Regulamento Eleitoral aprovado pela Resolução nº 179/2019</w:t>
            </w:r>
            <w:r w:rsidRPr="0080663B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80663B" w:rsidRDefault="00F71D63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80663B" w:rsidTr="000E089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80663B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</w:t>
            </w:r>
            <w:r w:rsidR="0080663B"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Sim </w:t>
            </w:r>
            <w:r w:rsidR="0080663B" w:rsidRPr="0080663B">
              <w:rPr>
                <w:rFonts w:ascii="Times New Roman" w:hAnsi="Times New Roman"/>
                <w:sz w:val="20"/>
                <w:szCs w:val="22"/>
              </w:rPr>
              <w:t xml:space="preserve">(13) </w:t>
            </w:r>
            <w:r w:rsidR="0080663B"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="0080663B" w:rsidRPr="0080663B">
              <w:rPr>
                <w:rFonts w:ascii="Times New Roman" w:hAnsi="Times New Roman"/>
                <w:sz w:val="20"/>
                <w:szCs w:val="22"/>
              </w:rPr>
              <w:t xml:space="preserve">(00) </w:t>
            </w:r>
            <w:r w:rsidR="0080663B"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="0080663B" w:rsidRPr="0080663B">
              <w:rPr>
                <w:rFonts w:ascii="Times New Roman" w:hAnsi="Times New Roman"/>
                <w:sz w:val="20"/>
                <w:szCs w:val="22"/>
              </w:rPr>
              <w:t xml:space="preserve">(00) </w:t>
            </w:r>
            <w:r w:rsidR="0080663B"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="0080663B" w:rsidRPr="0080663B">
              <w:rPr>
                <w:rFonts w:ascii="Times New Roman" w:hAnsi="Times New Roman"/>
                <w:sz w:val="20"/>
                <w:szCs w:val="22"/>
              </w:rPr>
              <w:t xml:space="preserve">(05) </w:t>
            </w:r>
            <w:r w:rsidR="0080663B"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="0080663B" w:rsidRPr="0080663B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8C460F" w:rsidRPr="0080663B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80663B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80663B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80663B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0E089A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80663B" w:rsidRDefault="00F71D63" w:rsidP="009B054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80663B" w:rsidRDefault="008C460F" w:rsidP="009B05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80663B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80663B" w:rsidRDefault="00F71D63" w:rsidP="009B0548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80663B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80663B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Pr="0080663B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Pr="0080663B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 </w:t>
            </w:r>
          </w:p>
        </w:tc>
      </w:tr>
    </w:tbl>
    <w:p w:rsidR="008C460F" w:rsidRPr="009B0548" w:rsidRDefault="008C460F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AB7E84">
      <w:headerReference w:type="default" r:id="rId14"/>
      <w:headerReference w:type="first" r:id="rId15"/>
      <w:pgSz w:w="11900" w:h="16840"/>
      <w:pgMar w:top="2268" w:right="851" w:bottom="1134" w:left="11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CA" w:rsidRDefault="00AC39CA" w:rsidP="004C3048">
      <w:r>
        <w:separator/>
      </w:r>
    </w:p>
  </w:endnote>
  <w:endnote w:type="continuationSeparator" w:id="0">
    <w:p w:rsidR="00AC39CA" w:rsidRDefault="00AC39C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5026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E54BA" w:rsidRPr="009B0548" w:rsidRDefault="005E54BA" w:rsidP="009B05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0A3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178810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CA" w:rsidRDefault="00AC39CA" w:rsidP="004C3048">
      <w:r>
        <w:separator/>
      </w:r>
    </w:p>
  </w:footnote>
  <w:footnote w:type="continuationSeparator" w:id="0">
    <w:p w:rsidR="00AC39CA" w:rsidRDefault="00AC39C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613D7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3840" behindDoc="1" locked="0" layoutInCell="1" allowOverlap="1" wp14:anchorId="51049858" wp14:editId="3855449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60000" cy="969962"/>
          <wp:effectExtent l="0" t="0" r="3175" b="1905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posOffset>-6350</wp:posOffset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6" name="Imagem 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293"/>
    <w:rsid w:val="000145F6"/>
    <w:rsid w:val="00040A86"/>
    <w:rsid w:val="00041404"/>
    <w:rsid w:val="000425B3"/>
    <w:rsid w:val="000527E4"/>
    <w:rsid w:val="000605F6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D3E3E"/>
    <w:rsid w:val="000D4C5E"/>
    <w:rsid w:val="000D5BC9"/>
    <w:rsid w:val="000E089A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37B93"/>
    <w:rsid w:val="0016491B"/>
    <w:rsid w:val="00170CA0"/>
    <w:rsid w:val="00174A5A"/>
    <w:rsid w:val="001778C5"/>
    <w:rsid w:val="00180FB9"/>
    <w:rsid w:val="001B5148"/>
    <w:rsid w:val="001B5F62"/>
    <w:rsid w:val="001B6708"/>
    <w:rsid w:val="001B6B70"/>
    <w:rsid w:val="001C1224"/>
    <w:rsid w:val="001E3473"/>
    <w:rsid w:val="001E56D2"/>
    <w:rsid w:val="001E7518"/>
    <w:rsid w:val="001F4906"/>
    <w:rsid w:val="001F61E5"/>
    <w:rsid w:val="001F6628"/>
    <w:rsid w:val="00216C06"/>
    <w:rsid w:val="00220A16"/>
    <w:rsid w:val="0025277E"/>
    <w:rsid w:val="0025716D"/>
    <w:rsid w:val="00280592"/>
    <w:rsid w:val="00280F33"/>
    <w:rsid w:val="00283583"/>
    <w:rsid w:val="00285A83"/>
    <w:rsid w:val="002912E6"/>
    <w:rsid w:val="002954BD"/>
    <w:rsid w:val="00295FD5"/>
    <w:rsid w:val="002974CF"/>
    <w:rsid w:val="002A1B94"/>
    <w:rsid w:val="002A3A72"/>
    <w:rsid w:val="002A7C5E"/>
    <w:rsid w:val="002B5633"/>
    <w:rsid w:val="002D4361"/>
    <w:rsid w:val="002D776E"/>
    <w:rsid w:val="002E0FE5"/>
    <w:rsid w:val="002E293E"/>
    <w:rsid w:val="002F2AD1"/>
    <w:rsid w:val="00302BAF"/>
    <w:rsid w:val="00305DCB"/>
    <w:rsid w:val="00306127"/>
    <w:rsid w:val="00311134"/>
    <w:rsid w:val="00320980"/>
    <w:rsid w:val="003411BA"/>
    <w:rsid w:val="003450A1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E37EA"/>
    <w:rsid w:val="003F0A03"/>
    <w:rsid w:val="003F1946"/>
    <w:rsid w:val="003F5088"/>
    <w:rsid w:val="003F5240"/>
    <w:rsid w:val="004025A8"/>
    <w:rsid w:val="00410566"/>
    <w:rsid w:val="004123FC"/>
    <w:rsid w:val="00414CFC"/>
    <w:rsid w:val="00426A82"/>
    <w:rsid w:val="00433DE0"/>
    <w:rsid w:val="004355BD"/>
    <w:rsid w:val="00437197"/>
    <w:rsid w:val="00447C6C"/>
    <w:rsid w:val="00453128"/>
    <w:rsid w:val="00471056"/>
    <w:rsid w:val="0047656F"/>
    <w:rsid w:val="00483414"/>
    <w:rsid w:val="004A3A07"/>
    <w:rsid w:val="004B20B6"/>
    <w:rsid w:val="004B3023"/>
    <w:rsid w:val="004B5A5C"/>
    <w:rsid w:val="004C3048"/>
    <w:rsid w:val="004D75DA"/>
    <w:rsid w:val="004E062B"/>
    <w:rsid w:val="004E6784"/>
    <w:rsid w:val="004F15C8"/>
    <w:rsid w:val="00500852"/>
    <w:rsid w:val="00500C6E"/>
    <w:rsid w:val="00531F08"/>
    <w:rsid w:val="0053240A"/>
    <w:rsid w:val="00544D7F"/>
    <w:rsid w:val="005461A2"/>
    <w:rsid w:val="00560C0D"/>
    <w:rsid w:val="005615DC"/>
    <w:rsid w:val="00564054"/>
    <w:rsid w:val="00565889"/>
    <w:rsid w:val="0057783B"/>
    <w:rsid w:val="005B4B10"/>
    <w:rsid w:val="005C70A6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38D8"/>
    <w:rsid w:val="00613D70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13E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D2DBC"/>
    <w:rsid w:val="006F24E8"/>
    <w:rsid w:val="006F251A"/>
    <w:rsid w:val="006F4E9B"/>
    <w:rsid w:val="006F5821"/>
    <w:rsid w:val="006F6327"/>
    <w:rsid w:val="00706F5A"/>
    <w:rsid w:val="00731BBD"/>
    <w:rsid w:val="00735D6B"/>
    <w:rsid w:val="007375FB"/>
    <w:rsid w:val="00740E14"/>
    <w:rsid w:val="00745379"/>
    <w:rsid w:val="0075194D"/>
    <w:rsid w:val="0076286B"/>
    <w:rsid w:val="00762DF7"/>
    <w:rsid w:val="00776B7B"/>
    <w:rsid w:val="00781362"/>
    <w:rsid w:val="00786A03"/>
    <w:rsid w:val="00790333"/>
    <w:rsid w:val="0079041F"/>
    <w:rsid w:val="007A1AAC"/>
    <w:rsid w:val="007B7B0D"/>
    <w:rsid w:val="007B7BB9"/>
    <w:rsid w:val="007C0FB9"/>
    <w:rsid w:val="007C50BE"/>
    <w:rsid w:val="007F1526"/>
    <w:rsid w:val="00805FC1"/>
    <w:rsid w:val="0080663B"/>
    <w:rsid w:val="0081283D"/>
    <w:rsid w:val="00820E28"/>
    <w:rsid w:val="00827FEC"/>
    <w:rsid w:val="00835E1C"/>
    <w:rsid w:val="00840D65"/>
    <w:rsid w:val="008451B4"/>
    <w:rsid w:val="00845205"/>
    <w:rsid w:val="00847568"/>
    <w:rsid w:val="00852C28"/>
    <w:rsid w:val="00854C77"/>
    <w:rsid w:val="00855321"/>
    <w:rsid w:val="00855F16"/>
    <w:rsid w:val="0086709B"/>
    <w:rsid w:val="0086789F"/>
    <w:rsid w:val="0087017A"/>
    <w:rsid w:val="00874A65"/>
    <w:rsid w:val="00890C7F"/>
    <w:rsid w:val="008A6E88"/>
    <w:rsid w:val="008B2CDA"/>
    <w:rsid w:val="008C460F"/>
    <w:rsid w:val="008C65AD"/>
    <w:rsid w:val="008D4752"/>
    <w:rsid w:val="008E1728"/>
    <w:rsid w:val="008E264B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57B92"/>
    <w:rsid w:val="009610A8"/>
    <w:rsid w:val="009643CB"/>
    <w:rsid w:val="00964549"/>
    <w:rsid w:val="00973052"/>
    <w:rsid w:val="00974359"/>
    <w:rsid w:val="009A0B81"/>
    <w:rsid w:val="009B0548"/>
    <w:rsid w:val="009B5DB8"/>
    <w:rsid w:val="009B7724"/>
    <w:rsid w:val="009C17B8"/>
    <w:rsid w:val="009C55B9"/>
    <w:rsid w:val="009C581F"/>
    <w:rsid w:val="009D0886"/>
    <w:rsid w:val="009E3C4D"/>
    <w:rsid w:val="009E4022"/>
    <w:rsid w:val="009F43E0"/>
    <w:rsid w:val="009F75FB"/>
    <w:rsid w:val="00A050DB"/>
    <w:rsid w:val="00A40ECC"/>
    <w:rsid w:val="00A43C37"/>
    <w:rsid w:val="00A53568"/>
    <w:rsid w:val="00A5515C"/>
    <w:rsid w:val="00A565FE"/>
    <w:rsid w:val="00A570C2"/>
    <w:rsid w:val="00A62383"/>
    <w:rsid w:val="00A67917"/>
    <w:rsid w:val="00A80C65"/>
    <w:rsid w:val="00A83107"/>
    <w:rsid w:val="00A90F51"/>
    <w:rsid w:val="00A97469"/>
    <w:rsid w:val="00AB3D28"/>
    <w:rsid w:val="00AB7E84"/>
    <w:rsid w:val="00AC39CA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5256F"/>
    <w:rsid w:val="00B60047"/>
    <w:rsid w:val="00B6066A"/>
    <w:rsid w:val="00B63C2E"/>
    <w:rsid w:val="00B6444A"/>
    <w:rsid w:val="00B73A02"/>
    <w:rsid w:val="00B81197"/>
    <w:rsid w:val="00BA22FC"/>
    <w:rsid w:val="00BB4469"/>
    <w:rsid w:val="00BB5E13"/>
    <w:rsid w:val="00BC73B6"/>
    <w:rsid w:val="00BD29FD"/>
    <w:rsid w:val="00C038EA"/>
    <w:rsid w:val="00C1010D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44E9"/>
    <w:rsid w:val="00C86244"/>
    <w:rsid w:val="00C87F93"/>
    <w:rsid w:val="00C91B4E"/>
    <w:rsid w:val="00C91E10"/>
    <w:rsid w:val="00CA1D82"/>
    <w:rsid w:val="00CA3EA6"/>
    <w:rsid w:val="00CB4643"/>
    <w:rsid w:val="00CB6CA9"/>
    <w:rsid w:val="00CB7A0B"/>
    <w:rsid w:val="00CC5EB2"/>
    <w:rsid w:val="00CD0E69"/>
    <w:rsid w:val="00CD2E8F"/>
    <w:rsid w:val="00CE156E"/>
    <w:rsid w:val="00CE4E08"/>
    <w:rsid w:val="00CF2FBA"/>
    <w:rsid w:val="00D07BED"/>
    <w:rsid w:val="00D12B4A"/>
    <w:rsid w:val="00D213CD"/>
    <w:rsid w:val="00D24E51"/>
    <w:rsid w:val="00D32E81"/>
    <w:rsid w:val="00D37FF9"/>
    <w:rsid w:val="00D43467"/>
    <w:rsid w:val="00D6201D"/>
    <w:rsid w:val="00D6204D"/>
    <w:rsid w:val="00D62C61"/>
    <w:rsid w:val="00D646D8"/>
    <w:rsid w:val="00D677FD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B6466"/>
    <w:rsid w:val="00DC48BD"/>
    <w:rsid w:val="00DD09A6"/>
    <w:rsid w:val="00DD16FB"/>
    <w:rsid w:val="00DD6FDF"/>
    <w:rsid w:val="00DE67B2"/>
    <w:rsid w:val="00DE6D79"/>
    <w:rsid w:val="00DF1E00"/>
    <w:rsid w:val="00DF2B5B"/>
    <w:rsid w:val="00E00DCA"/>
    <w:rsid w:val="00E012F8"/>
    <w:rsid w:val="00E0487E"/>
    <w:rsid w:val="00E12EC2"/>
    <w:rsid w:val="00E21BC0"/>
    <w:rsid w:val="00E22ADE"/>
    <w:rsid w:val="00E22AF6"/>
    <w:rsid w:val="00E31CC4"/>
    <w:rsid w:val="00E3663E"/>
    <w:rsid w:val="00E408E2"/>
    <w:rsid w:val="00E47A74"/>
    <w:rsid w:val="00E56097"/>
    <w:rsid w:val="00E65620"/>
    <w:rsid w:val="00E662FF"/>
    <w:rsid w:val="00E663BC"/>
    <w:rsid w:val="00E87EAC"/>
    <w:rsid w:val="00E9324D"/>
    <w:rsid w:val="00E97520"/>
    <w:rsid w:val="00EA2932"/>
    <w:rsid w:val="00EA3833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11C5"/>
    <w:rsid w:val="00F01B4C"/>
    <w:rsid w:val="00F106E3"/>
    <w:rsid w:val="00F11D97"/>
    <w:rsid w:val="00F2295D"/>
    <w:rsid w:val="00F271D7"/>
    <w:rsid w:val="00F30A37"/>
    <w:rsid w:val="00F34C54"/>
    <w:rsid w:val="00F35568"/>
    <w:rsid w:val="00F441EC"/>
    <w:rsid w:val="00F4620D"/>
    <w:rsid w:val="00F46AB6"/>
    <w:rsid w:val="00F55E0C"/>
    <w:rsid w:val="00F62212"/>
    <w:rsid w:val="00F71D63"/>
    <w:rsid w:val="00F847D9"/>
    <w:rsid w:val="00FA1A43"/>
    <w:rsid w:val="00FB0609"/>
    <w:rsid w:val="00FB372F"/>
    <w:rsid w:val="00FC41B6"/>
    <w:rsid w:val="00FC4BFF"/>
    <w:rsid w:val="00FC6A2F"/>
    <w:rsid w:val="00FC73FB"/>
    <w:rsid w:val="00FD4628"/>
    <w:rsid w:val="00FE75C7"/>
    <w:rsid w:val="00FF026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36DD-9CC9-487A-8218-45CFB846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15</cp:revision>
  <cp:lastPrinted>2019-12-20T19:18:00Z</cp:lastPrinted>
  <dcterms:created xsi:type="dcterms:W3CDTF">2020-02-07T19:20:00Z</dcterms:created>
  <dcterms:modified xsi:type="dcterms:W3CDTF">2020-02-16T21:33:00Z</dcterms:modified>
</cp:coreProperties>
</file>