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4D0BE5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4D0BE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D0BE5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0BE5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D0BE5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4D0BE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D0BE5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0BE5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D0BE5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D0BE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4D0BE5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4D0BE5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0BE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4D0BE5" w:rsidRDefault="00C76D67" w:rsidP="003E736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D0BE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4D0BE5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4D0BE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E736F" w:rsidRPr="004D0BE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007</w:t>
            </w:r>
            <w:r w:rsidRPr="004D0BE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4D0BE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  <w:r w:rsidR="003E736F" w:rsidRPr="004D0BE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ratifica a </w:t>
            </w:r>
            <w:r w:rsidR="003E736F" w:rsidRPr="004D0BE5">
              <w:rPr>
                <w:rFonts w:ascii="Times New Roman" w:hAnsi="Times New Roman"/>
                <w:sz w:val="22"/>
                <w:szCs w:val="22"/>
              </w:rPr>
              <w:t>prorrogação da suspensão de prazos processuais de qualquer natureza, no âmbito do CAU/RS.</w:t>
            </w:r>
          </w:p>
        </w:tc>
      </w:tr>
    </w:tbl>
    <w:p w:rsidR="00124A49" w:rsidRPr="004D0BE5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D0BE5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4D0BE5">
        <w:rPr>
          <w:rFonts w:ascii="Times New Roman" w:hAnsi="Times New Roman"/>
          <w:sz w:val="22"/>
          <w:szCs w:val="22"/>
          <w:lang w:eastAsia="pt-BR"/>
        </w:rPr>
        <w:t>/RS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4D0BE5">
        <w:rPr>
          <w:rFonts w:ascii="Times New Roman" w:hAnsi="Times New Roman"/>
          <w:sz w:val="22"/>
          <w:szCs w:val="22"/>
          <w:lang w:eastAsia="pt-BR"/>
        </w:rPr>
        <w:t>115</w:t>
      </w:r>
      <w:r w:rsidR="003E736F" w:rsidRPr="004D0BE5">
        <w:rPr>
          <w:rFonts w:ascii="Times New Roman" w:hAnsi="Times New Roman"/>
          <w:sz w:val="22"/>
          <w:szCs w:val="22"/>
          <w:lang w:eastAsia="pt-BR"/>
        </w:rPr>
        <w:t>6</w:t>
      </w:r>
      <w:r w:rsidRPr="004D0BE5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4D0BE5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4D0BE5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4D0BE5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5D6DF2" w:rsidRPr="004D0BE5" w:rsidRDefault="005579C1" w:rsidP="003E736F">
      <w:pPr>
        <w:ind w:left="5103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 w:rsidRPr="004D0BE5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9316CB" w:rsidRPr="004D0BE5">
        <w:rPr>
          <w:rFonts w:ascii="Times New Roman" w:hAnsi="Times New Roman"/>
          <w:bCs/>
          <w:sz w:val="20"/>
          <w:szCs w:val="22"/>
          <w:lang w:eastAsia="pt-BR"/>
        </w:rPr>
        <w:t>00</w:t>
      </w:r>
      <w:r w:rsidR="003E736F" w:rsidRPr="004D0BE5">
        <w:rPr>
          <w:rFonts w:ascii="Times New Roman" w:hAnsi="Times New Roman"/>
          <w:bCs/>
          <w:sz w:val="20"/>
          <w:szCs w:val="22"/>
          <w:lang w:eastAsia="pt-BR"/>
        </w:rPr>
        <w:t>7</w:t>
      </w:r>
      <w:r w:rsidR="009316CB" w:rsidRPr="004D0BE5">
        <w:rPr>
          <w:rFonts w:ascii="Times New Roman" w:hAnsi="Times New Roman"/>
          <w:bCs/>
          <w:sz w:val="20"/>
          <w:szCs w:val="22"/>
          <w:lang w:eastAsia="pt-BR"/>
        </w:rPr>
        <w:t xml:space="preserve">/2020 </w:t>
      </w:r>
      <w:r w:rsidR="003E736F" w:rsidRPr="004D0BE5">
        <w:rPr>
          <w:rFonts w:ascii="Times New Roman" w:hAnsi="Times New Roman"/>
          <w:bCs/>
          <w:sz w:val="20"/>
          <w:szCs w:val="22"/>
          <w:lang w:eastAsia="pt-BR"/>
        </w:rPr>
        <w:t>e ratifica a prorrogação da suspensão de prazos processuais de qualquer natureza, no âmbito do CAU/RS.</w:t>
      </w:r>
    </w:p>
    <w:p w:rsidR="003E736F" w:rsidRPr="004D0BE5" w:rsidRDefault="003E736F" w:rsidP="003E736F">
      <w:pPr>
        <w:ind w:left="5103"/>
        <w:jc w:val="both"/>
        <w:rPr>
          <w:rFonts w:ascii="Times New Roman" w:hAnsi="Times New Roman"/>
          <w:bCs/>
          <w:sz w:val="20"/>
          <w:szCs w:val="22"/>
          <w:lang w:eastAsia="pt-BR"/>
        </w:rPr>
      </w:pPr>
    </w:p>
    <w:p w:rsidR="003E736F" w:rsidRPr="004D0BE5" w:rsidRDefault="003E736F" w:rsidP="003E736F">
      <w:pPr>
        <w:ind w:left="5103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4D0BE5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D0BE5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4D0BE5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4D0BE5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4D0BE5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4D0BE5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4D0B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4D0BE5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4D0BE5">
        <w:rPr>
          <w:rFonts w:ascii="Times New Roman" w:hAnsi="Times New Roman"/>
          <w:sz w:val="22"/>
          <w:szCs w:val="22"/>
          <w:lang w:eastAsia="pt-BR"/>
        </w:rPr>
        <w:t>/RS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4D0BE5">
        <w:rPr>
          <w:rFonts w:ascii="Times New Roman" w:hAnsi="Times New Roman"/>
          <w:sz w:val="22"/>
          <w:szCs w:val="22"/>
        </w:rPr>
        <w:t>através de sistema de deliberação remota, conforme determina o Ad Referendum 006/2020</w:t>
      </w:r>
      <w:r w:rsidRPr="004D0BE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D6DF2" w:rsidRPr="004D0BE5">
        <w:rPr>
          <w:rFonts w:ascii="Times New Roman" w:hAnsi="Times New Roman"/>
          <w:sz w:val="22"/>
          <w:szCs w:val="22"/>
          <w:lang w:eastAsia="pt-BR"/>
        </w:rPr>
        <w:t>24</w:t>
      </w:r>
      <w:r w:rsidR="005579C1" w:rsidRPr="004D0BE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D6DF2" w:rsidRPr="004D0BE5">
        <w:rPr>
          <w:rFonts w:ascii="Times New Roman" w:hAnsi="Times New Roman"/>
          <w:sz w:val="22"/>
          <w:szCs w:val="22"/>
          <w:lang w:eastAsia="pt-BR"/>
        </w:rPr>
        <w:t xml:space="preserve">abril </w:t>
      </w:r>
      <w:r w:rsidR="0049173E" w:rsidRPr="004D0BE5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4D0B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4D0BE5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4D0BE5">
        <w:rPr>
          <w:rFonts w:ascii="Times New Roman" w:hAnsi="Times New Roman"/>
          <w:sz w:val="22"/>
          <w:szCs w:val="22"/>
          <w:lang w:eastAsia="pt-BR"/>
        </w:rPr>
        <w:t>20</w:t>
      </w:r>
      <w:r w:rsidRPr="004D0BE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4D0BE5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16CB" w:rsidRPr="004D0BE5" w:rsidRDefault="005579C1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4D0BE5">
        <w:rPr>
          <w:rFonts w:ascii="Times New Roman" w:hAnsi="Times New Roman"/>
          <w:sz w:val="22"/>
          <w:szCs w:val="22"/>
        </w:rPr>
        <w:t xml:space="preserve">Considerando a </w:t>
      </w:r>
      <w:r w:rsidR="009316CB" w:rsidRPr="004D0BE5">
        <w:rPr>
          <w:rFonts w:ascii="Times New Roman" w:hAnsi="Times New Roman"/>
          <w:sz w:val="22"/>
          <w:szCs w:val="22"/>
        </w:rPr>
        <w:t>necessidade de tomada de decisão, na data de expedição do referido ato Ad Referendum do Plenário, visando</w:t>
      </w:r>
      <w:r w:rsidR="009316CB" w:rsidRPr="004D0BE5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 proteção da saúde dos conselheiros, funcionários, terceirizados, estagiários, profissionais Arquitetos e Urbanistas, bem como suas respectivas famílias, assim como demais profissionais que são atendidos nas sedes do Conselho;</w:t>
      </w:r>
    </w:p>
    <w:p w:rsidR="009316CB" w:rsidRPr="004D0BE5" w:rsidRDefault="009316CB" w:rsidP="005D6DF2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9316CB" w:rsidRPr="004D0BE5" w:rsidRDefault="00C76D67" w:rsidP="005D6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D0BE5">
        <w:rPr>
          <w:rFonts w:ascii="Times New Roman" w:hAnsi="Times New Roman"/>
          <w:sz w:val="22"/>
          <w:szCs w:val="22"/>
          <w:lang w:eastAsia="pt-BR"/>
        </w:rPr>
        <w:t xml:space="preserve">Considerando o inteiro teor </w:t>
      </w:r>
      <w:r w:rsidR="009316CB" w:rsidRPr="004D0BE5">
        <w:rPr>
          <w:rFonts w:ascii="Times New Roman" w:hAnsi="Times New Roman"/>
          <w:sz w:val="22"/>
          <w:szCs w:val="22"/>
          <w:lang w:eastAsia="pt-BR"/>
        </w:rPr>
        <w:t xml:space="preserve">da Deliberação Plenária </w:t>
      </w:r>
      <w:r w:rsidR="002B71C2" w:rsidRPr="004D0BE5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4D0BE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4D0BE5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3E736F" w:rsidRPr="004D0BE5">
        <w:rPr>
          <w:rFonts w:ascii="Times New Roman" w:hAnsi="Times New Roman"/>
          <w:sz w:val="22"/>
          <w:szCs w:val="22"/>
          <w:lang w:eastAsia="pt-BR"/>
        </w:rPr>
        <w:t>007</w:t>
      </w:r>
      <w:r w:rsidR="0049173E" w:rsidRPr="004D0BE5">
        <w:rPr>
          <w:rFonts w:ascii="Times New Roman" w:hAnsi="Times New Roman"/>
          <w:sz w:val="22"/>
          <w:szCs w:val="22"/>
          <w:lang w:eastAsia="pt-BR"/>
        </w:rPr>
        <w:t>/20</w:t>
      </w:r>
      <w:r w:rsidR="009316CB" w:rsidRPr="004D0BE5">
        <w:rPr>
          <w:rFonts w:ascii="Times New Roman" w:hAnsi="Times New Roman"/>
          <w:sz w:val="22"/>
          <w:szCs w:val="22"/>
          <w:lang w:eastAsia="pt-BR"/>
        </w:rPr>
        <w:t xml:space="preserve">20 </w:t>
      </w:r>
      <w:r w:rsidR="008B0AF4" w:rsidRPr="004D0BE5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8210AB" w:rsidRPr="004D0BE5">
        <w:rPr>
          <w:rFonts w:ascii="Times New Roman" w:hAnsi="Times New Roman"/>
          <w:bCs/>
          <w:sz w:val="22"/>
          <w:szCs w:val="22"/>
          <w:lang w:eastAsia="pt-BR"/>
        </w:rPr>
        <w:t xml:space="preserve">regulamentou </w:t>
      </w:r>
      <w:r w:rsidR="003E736F" w:rsidRPr="004D0BE5">
        <w:rPr>
          <w:rFonts w:ascii="Times New Roman" w:hAnsi="Times New Roman"/>
          <w:bCs/>
          <w:sz w:val="22"/>
          <w:szCs w:val="22"/>
          <w:lang w:eastAsia="pt-BR"/>
        </w:rPr>
        <w:t>prorrogação d</w:t>
      </w:r>
      <w:r w:rsidR="008210AB" w:rsidRPr="004D0BE5">
        <w:rPr>
          <w:rFonts w:ascii="Times New Roman" w:hAnsi="Times New Roman"/>
          <w:sz w:val="22"/>
          <w:szCs w:val="22"/>
        </w:rPr>
        <w:t>a suspensão de prazos processuais de qualquer natureza</w:t>
      </w:r>
      <w:r w:rsidR="003E736F" w:rsidRPr="004D0BE5">
        <w:rPr>
          <w:rFonts w:ascii="Times New Roman" w:hAnsi="Times New Roman"/>
          <w:sz w:val="22"/>
          <w:szCs w:val="22"/>
        </w:rPr>
        <w:t xml:space="preserve"> no âmbito do CAU/RS</w:t>
      </w:r>
      <w:r w:rsidR="00A56A53" w:rsidRPr="004D0BE5">
        <w:rPr>
          <w:rFonts w:ascii="Times New Roman" w:hAnsi="Times New Roman"/>
          <w:bCs/>
          <w:sz w:val="22"/>
          <w:szCs w:val="22"/>
          <w:lang w:eastAsia="pt-BR"/>
        </w:rPr>
        <w:t>;</w:t>
      </w:r>
    </w:p>
    <w:p w:rsidR="005579C1" w:rsidRPr="004D0BE5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579C1" w:rsidRPr="004D0BE5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D0BE5">
        <w:rPr>
          <w:rFonts w:ascii="Times New Roman" w:hAnsi="Times New Roman"/>
          <w:sz w:val="22"/>
          <w:szCs w:val="22"/>
        </w:rPr>
        <w:t xml:space="preserve">Considerando que compete ao Plenário do CAU/RS apreciar, deliberar e aprovar matéria aprovada </w:t>
      </w:r>
      <w:r w:rsidR="005D6DF2" w:rsidRPr="004D0BE5">
        <w:rPr>
          <w:rFonts w:ascii="Times New Roman" w:hAnsi="Times New Roman"/>
          <w:i/>
          <w:sz w:val="22"/>
          <w:szCs w:val="22"/>
        </w:rPr>
        <w:t>Ad Referendum</w:t>
      </w:r>
      <w:r w:rsidR="005D6DF2" w:rsidRPr="004D0BE5">
        <w:rPr>
          <w:rFonts w:ascii="Times New Roman" w:hAnsi="Times New Roman"/>
          <w:sz w:val="22"/>
          <w:szCs w:val="22"/>
        </w:rPr>
        <w:t xml:space="preserve"> </w:t>
      </w:r>
      <w:r w:rsidRPr="004D0BE5">
        <w:rPr>
          <w:rFonts w:ascii="Times New Roman" w:hAnsi="Times New Roman"/>
          <w:sz w:val="22"/>
          <w:szCs w:val="22"/>
        </w:rPr>
        <w:t>pelo Presidente, conforme art. 56 do seu Regimento Interno;</w:t>
      </w:r>
    </w:p>
    <w:p w:rsidR="000C1CFB" w:rsidRPr="004D0BE5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124A49" w:rsidRPr="004D0BE5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D0BE5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4D0BE5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4D0BE5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316CB" w:rsidRPr="004D0BE5" w:rsidRDefault="006C68B5" w:rsidP="00A56A53">
      <w:pPr>
        <w:numPr>
          <w:ilvl w:val="0"/>
          <w:numId w:val="17"/>
        </w:numPr>
        <w:ind w:left="1069"/>
        <w:jc w:val="both"/>
        <w:rPr>
          <w:rFonts w:ascii="Times New Roman" w:hAnsi="Times New Roman"/>
          <w:sz w:val="22"/>
          <w:szCs w:val="22"/>
        </w:rPr>
      </w:pPr>
      <w:r w:rsidRPr="004D0BE5">
        <w:rPr>
          <w:rFonts w:ascii="Times New Roman" w:hAnsi="Times New Roman"/>
          <w:sz w:val="22"/>
          <w:szCs w:val="22"/>
        </w:rPr>
        <w:t>Homologa</w:t>
      </w:r>
      <w:r w:rsidR="003B71A1" w:rsidRPr="004D0BE5">
        <w:rPr>
          <w:rFonts w:ascii="Times New Roman" w:hAnsi="Times New Roman"/>
          <w:sz w:val="22"/>
          <w:szCs w:val="22"/>
        </w:rPr>
        <w:t>r</w:t>
      </w:r>
      <w:r w:rsidRPr="004D0BE5">
        <w:rPr>
          <w:rFonts w:ascii="Times New Roman" w:hAnsi="Times New Roman"/>
          <w:sz w:val="22"/>
          <w:szCs w:val="22"/>
        </w:rPr>
        <w:t xml:space="preserve"> o </w:t>
      </w:r>
      <w:r w:rsidRPr="004D0BE5">
        <w:rPr>
          <w:rFonts w:ascii="Times New Roman" w:hAnsi="Times New Roman"/>
          <w:i/>
          <w:sz w:val="22"/>
          <w:szCs w:val="22"/>
        </w:rPr>
        <w:t>Ad Referendum</w:t>
      </w:r>
      <w:r w:rsidRPr="004D0BE5">
        <w:rPr>
          <w:rFonts w:ascii="Times New Roman" w:hAnsi="Times New Roman"/>
          <w:sz w:val="22"/>
          <w:szCs w:val="22"/>
        </w:rPr>
        <w:t xml:space="preserve"> nº </w:t>
      </w:r>
      <w:r w:rsidR="003E736F" w:rsidRPr="004D0BE5">
        <w:rPr>
          <w:rFonts w:ascii="Times New Roman" w:hAnsi="Times New Roman"/>
          <w:sz w:val="22"/>
          <w:szCs w:val="22"/>
        </w:rPr>
        <w:t>007</w:t>
      </w:r>
      <w:r w:rsidR="0049173E" w:rsidRPr="004D0BE5">
        <w:rPr>
          <w:rFonts w:ascii="Times New Roman" w:hAnsi="Times New Roman"/>
          <w:sz w:val="22"/>
          <w:szCs w:val="22"/>
        </w:rPr>
        <w:t>/20</w:t>
      </w:r>
      <w:r w:rsidR="009316CB" w:rsidRPr="004D0BE5">
        <w:rPr>
          <w:rFonts w:ascii="Times New Roman" w:hAnsi="Times New Roman"/>
          <w:sz w:val="22"/>
          <w:szCs w:val="22"/>
        </w:rPr>
        <w:t xml:space="preserve">20, </w:t>
      </w:r>
      <w:r w:rsidR="003E736F" w:rsidRPr="004D0BE5">
        <w:rPr>
          <w:rFonts w:ascii="Times New Roman" w:hAnsi="Times New Roman"/>
          <w:sz w:val="22"/>
          <w:szCs w:val="22"/>
        </w:rPr>
        <w:t xml:space="preserve">e ratificar a suspensão, </w:t>
      </w:r>
      <w:r w:rsidR="009316CB" w:rsidRPr="004D0BE5">
        <w:rPr>
          <w:rFonts w:ascii="Times New Roman" w:hAnsi="Times New Roman"/>
          <w:sz w:val="22"/>
          <w:szCs w:val="22"/>
        </w:rPr>
        <w:t xml:space="preserve">no período </w:t>
      </w:r>
      <w:r w:rsidR="008210AB" w:rsidRPr="004D0BE5">
        <w:rPr>
          <w:rFonts w:ascii="Times New Roman" w:hAnsi="Times New Roman"/>
          <w:sz w:val="22"/>
          <w:szCs w:val="22"/>
        </w:rPr>
        <w:t xml:space="preserve">de 17 de </w:t>
      </w:r>
      <w:r w:rsidR="003E736F" w:rsidRPr="004D0BE5">
        <w:rPr>
          <w:rFonts w:ascii="Times New Roman" w:hAnsi="Times New Roman"/>
          <w:sz w:val="22"/>
          <w:szCs w:val="22"/>
        </w:rPr>
        <w:t>abril</w:t>
      </w:r>
      <w:r w:rsidR="008210AB" w:rsidRPr="004D0BE5">
        <w:rPr>
          <w:rFonts w:ascii="Times New Roman" w:hAnsi="Times New Roman"/>
          <w:sz w:val="22"/>
          <w:szCs w:val="22"/>
        </w:rPr>
        <w:t xml:space="preserve"> a </w:t>
      </w:r>
      <w:r w:rsidR="003E736F" w:rsidRPr="004D0BE5">
        <w:rPr>
          <w:rFonts w:ascii="Times New Roman" w:hAnsi="Times New Roman"/>
          <w:sz w:val="22"/>
          <w:szCs w:val="22"/>
        </w:rPr>
        <w:t xml:space="preserve">04 de maio </w:t>
      </w:r>
      <w:r w:rsidR="008210AB" w:rsidRPr="004D0BE5">
        <w:rPr>
          <w:rFonts w:ascii="Times New Roman" w:hAnsi="Times New Roman"/>
          <w:sz w:val="22"/>
          <w:szCs w:val="22"/>
        </w:rPr>
        <w:t xml:space="preserve">de 2020, </w:t>
      </w:r>
      <w:r w:rsidR="003E736F" w:rsidRPr="004D0BE5">
        <w:rPr>
          <w:rFonts w:ascii="Times New Roman" w:hAnsi="Times New Roman"/>
          <w:sz w:val="22"/>
          <w:szCs w:val="22"/>
        </w:rPr>
        <w:t xml:space="preserve">de </w:t>
      </w:r>
      <w:r w:rsidR="008210AB" w:rsidRPr="004D0BE5">
        <w:rPr>
          <w:rFonts w:ascii="Times New Roman" w:hAnsi="Times New Roman"/>
          <w:sz w:val="22"/>
          <w:szCs w:val="22"/>
        </w:rPr>
        <w:t xml:space="preserve">todos os prazos de cunho administrativo, incluindo prazos de processos de fiscalização, de processos ético-disciplinares, de Editais e correlatos, </w:t>
      </w:r>
      <w:r w:rsidR="003E736F" w:rsidRPr="004D0BE5">
        <w:rPr>
          <w:rFonts w:ascii="Times New Roman" w:hAnsi="Times New Roman"/>
          <w:sz w:val="22"/>
          <w:szCs w:val="22"/>
        </w:rPr>
        <w:t xml:space="preserve">no âmbito do CAU/RS, </w:t>
      </w:r>
      <w:r w:rsidR="008210AB" w:rsidRPr="004D0BE5">
        <w:rPr>
          <w:rFonts w:ascii="Times New Roman" w:hAnsi="Times New Roman"/>
          <w:sz w:val="22"/>
          <w:szCs w:val="22"/>
        </w:rPr>
        <w:t xml:space="preserve">sem prejuízo do atendimento e cumprimento das medidas consideradas urgentes, em razão </w:t>
      </w:r>
      <w:r w:rsidR="003E736F" w:rsidRPr="004D0BE5">
        <w:rPr>
          <w:rFonts w:ascii="Times New Roman" w:hAnsi="Times New Roman"/>
          <w:sz w:val="22"/>
          <w:szCs w:val="22"/>
        </w:rPr>
        <w:t>da pandemia.</w:t>
      </w:r>
    </w:p>
    <w:p w:rsidR="00C42ACA" w:rsidRPr="004D0BE5" w:rsidRDefault="00C42ACA" w:rsidP="005D6DF2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4D0BE5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4D0BE5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4D0BE5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4D0BE5" w:rsidRPr="004D0BE5" w:rsidRDefault="004D0BE5" w:rsidP="004D0BE5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4D0BE5">
        <w:rPr>
          <w:rFonts w:ascii="Times New Roman" w:hAnsi="Times New Roman"/>
          <w:sz w:val="22"/>
          <w:szCs w:val="22"/>
          <w:lang w:eastAsia="pt-BR"/>
        </w:rPr>
        <w:t xml:space="preserve">Com 17 (dezessete) votos favoráveis dos conselheiros </w:t>
      </w:r>
      <w:r w:rsidRPr="004D0BE5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Pr="004D0BE5">
        <w:rPr>
          <w:rFonts w:ascii="Times New Roman" w:hAnsi="Times New Roman"/>
          <w:sz w:val="22"/>
          <w:szCs w:val="22"/>
        </w:rPr>
        <w:t>Rohden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Bresolin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D0BE5">
        <w:rPr>
          <w:rFonts w:ascii="Times New Roman" w:hAnsi="Times New Roman"/>
          <w:sz w:val="22"/>
          <w:szCs w:val="22"/>
        </w:rPr>
        <w:t>Oritz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Adriano Adams de Campos, </w:t>
      </w:r>
      <w:proofErr w:type="spellStart"/>
      <w:r w:rsidRPr="004D0BE5">
        <w:rPr>
          <w:rFonts w:ascii="Times New Roman" w:hAnsi="Times New Roman"/>
          <w:sz w:val="22"/>
          <w:szCs w:val="22"/>
        </w:rPr>
        <w:t>Alvino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Jara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Matias </w:t>
      </w:r>
      <w:proofErr w:type="spellStart"/>
      <w:r w:rsidRPr="004D0BE5">
        <w:rPr>
          <w:rFonts w:ascii="Times New Roman" w:hAnsi="Times New Roman"/>
          <w:sz w:val="22"/>
          <w:szCs w:val="22"/>
        </w:rPr>
        <w:t>Revello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Vazquez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Priscila Terra </w:t>
      </w:r>
      <w:proofErr w:type="spellStart"/>
      <w:r w:rsidRPr="004D0BE5">
        <w:rPr>
          <w:rFonts w:ascii="Times New Roman" w:hAnsi="Times New Roman"/>
          <w:sz w:val="22"/>
          <w:szCs w:val="22"/>
        </w:rPr>
        <w:t>Quesada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D0BE5">
        <w:rPr>
          <w:rFonts w:ascii="Times New Roman" w:hAnsi="Times New Roman"/>
          <w:sz w:val="22"/>
          <w:szCs w:val="22"/>
        </w:rPr>
        <w:t>Helenice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Macedo do Couto, Rômulo Plentz Giralt, Carlos Fabiano Santos </w:t>
      </w:r>
      <w:proofErr w:type="spellStart"/>
      <w:r w:rsidRPr="004D0BE5">
        <w:rPr>
          <w:rFonts w:ascii="Times New Roman" w:hAnsi="Times New Roman"/>
          <w:sz w:val="22"/>
          <w:szCs w:val="22"/>
        </w:rPr>
        <w:t>Pitzer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Rodrigo Spinelli, Alexandre Giorgi, Roberta Krahe Edelweiss, José Arthur </w:t>
      </w:r>
      <w:proofErr w:type="spellStart"/>
      <w:r w:rsidRPr="004D0BE5">
        <w:rPr>
          <w:rFonts w:ascii="Times New Roman" w:hAnsi="Times New Roman"/>
          <w:sz w:val="22"/>
          <w:szCs w:val="22"/>
        </w:rPr>
        <w:t>Fell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Roberto </w:t>
      </w:r>
      <w:proofErr w:type="spellStart"/>
      <w:r w:rsidRPr="004D0BE5">
        <w:rPr>
          <w:rFonts w:ascii="Times New Roman" w:hAnsi="Times New Roman"/>
          <w:sz w:val="22"/>
          <w:szCs w:val="22"/>
        </w:rPr>
        <w:t>Luis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0BE5">
        <w:rPr>
          <w:rFonts w:ascii="Times New Roman" w:hAnsi="Times New Roman"/>
          <w:sz w:val="22"/>
          <w:szCs w:val="22"/>
        </w:rPr>
        <w:t>Decó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Paulo Fernando do Amaral Fontana, Ana Rosa </w:t>
      </w:r>
      <w:proofErr w:type="spellStart"/>
      <w:r w:rsidRPr="004D0BE5">
        <w:rPr>
          <w:rFonts w:ascii="Times New Roman" w:hAnsi="Times New Roman"/>
          <w:sz w:val="22"/>
          <w:szCs w:val="22"/>
        </w:rPr>
        <w:t>Cé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Renata </w:t>
      </w:r>
      <w:proofErr w:type="spellStart"/>
      <w:r w:rsidRPr="004D0BE5">
        <w:rPr>
          <w:rFonts w:ascii="Times New Roman" w:hAnsi="Times New Roman"/>
          <w:sz w:val="22"/>
          <w:szCs w:val="22"/>
        </w:rPr>
        <w:t>Maraschin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, Jorge </w:t>
      </w:r>
      <w:proofErr w:type="spellStart"/>
      <w:r w:rsidRPr="004D0BE5">
        <w:rPr>
          <w:rFonts w:ascii="Times New Roman" w:hAnsi="Times New Roman"/>
          <w:sz w:val="22"/>
          <w:szCs w:val="22"/>
        </w:rPr>
        <w:t>Stocker</w:t>
      </w:r>
      <w:proofErr w:type="spellEnd"/>
      <w:r w:rsidRPr="004D0BE5">
        <w:rPr>
          <w:rFonts w:ascii="Times New Roman" w:hAnsi="Times New Roman"/>
          <w:sz w:val="22"/>
          <w:szCs w:val="22"/>
        </w:rPr>
        <w:t xml:space="preserve"> Junior e 01 (uma) ausência da Conselheira Deise Flores dos Santos.</w:t>
      </w:r>
    </w:p>
    <w:p w:rsidR="00BF1FEF" w:rsidRPr="004D0BE5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Pr="004D0BE5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4D0BE5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4D0BE5">
        <w:rPr>
          <w:rFonts w:ascii="Times New Roman" w:hAnsi="Times New Roman"/>
          <w:sz w:val="22"/>
          <w:szCs w:val="22"/>
        </w:rPr>
        <w:t xml:space="preserve">Porto Alegre – RS, </w:t>
      </w:r>
      <w:r w:rsidR="005D6DF2" w:rsidRPr="004D0BE5">
        <w:rPr>
          <w:rFonts w:ascii="Times New Roman" w:hAnsi="Times New Roman"/>
          <w:sz w:val="22"/>
          <w:szCs w:val="22"/>
        </w:rPr>
        <w:t>24</w:t>
      </w:r>
      <w:r w:rsidR="005579C1" w:rsidRPr="004D0BE5">
        <w:rPr>
          <w:rFonts w:ascii="Times New Roman" w:hAnsi="Times New Roman"/>
          <w:sz w:val="22"/>
          <w:szCs w:val="22"/>
        </w:rPr>
        <w:t xml:space="preserve"> de </w:t>
      </w:r>
      <w:r w:rsidR="005D6DF2" w:rsidRPr="004D0BE5">
        <w:rPr>
          <w:rFonts w:ascii="Times New Roman" w:hAnsi="Times New Roman"/>
          <w:sz w:val="22"/>
          <w:szCs w:val="22"/>
        </w:rPr>
        <w:t xml:space="preserve">abril </w:t>
      </w:r>
      <w:r w:rsidRPr="004D0BE5">
        <w:rPr>
          <w:rFonts w:ascii="Times New Roman" w:hAnsi="Times New Roman"/>
          <w:sz w:val="22"/>
          <w:szCs w:val="22"/>
        </w:rPr>
        <w:t xml:space="preserve">de </w:t>
      </w:r>
      <w:r w:rsidR="005D6DF2" w:rsidRPr="004D0BE5">
        <w:rPr>
          <w:rFonts w:ascii="Times New Roman" w:hAnsi="Times New Roman"/>
          <w:sz w:val="22"/>
          <w:szCs w:val="22"/>
        </w:rPr>
        <w:t>2020</w:t>
      </w:r>
      <w:r w:rsidRPr="004D0BE5">
        <w:rPr>
          <w:rFonts w:ascii="Times New Roman" w:hAnsi="Times New Roman"/>
          <w:sz w:val="22"/>
          <w:szCs w:val="22"/>
        </w:rPr>
        <w:t>.</w:t>
      </w:r>
    </w:p>
    <w:p w:rsidR="0019498C" w:rsidRPr="004D0BE5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4D0BE5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4D0BE5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4D0BE5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4D0BE5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4D0BE5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4D0BE5" w:rsidRDefault="00586FD0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D0BE5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4D0BE5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D0BE5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917E5F" w:rsidRPr="004D0BE5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107ª</w:t>
      </w:r>
      <w:r w:rsidR="00EC23EA" w:rsidRPr="004D0BE5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4D0BE5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4D0BE5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D0BE5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4D0BE5" w:rsidRDefault="00BF1FEF" w:rsidP="005D6DF2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4D0BE5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D0BE5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E5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D0BE5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E5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4D0BE5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D0BE5" w:rsidRDefault="00BF1FEF" w:rsidP="005D6D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D0BE5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E5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D0BE5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E5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D0BE5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E5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4D0BE5" w:rsidRDefault="00BF1FEF" w:rsidP="005D6DF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E5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Alexandre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Alvino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ED7592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Rosa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Carlos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Deise Flores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Helenice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Stocker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Matias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Revello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Oritz</w:t>
            </w:r>
            <w:proofErr w:type="spellEnd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Paulo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Priscila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Quesada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Roberta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0BE5" w:rsidRPr="004D0BE5" w:rsidTr="007E78D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4D0BE5" w:rsidRPr="004D0BE5" w:rsidRDefault="004D0BE5" w:rsidP="004D0BE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color w:val="000000"/>
                <w:sz w:val="22"/>
                <w:szCs w:val="22"/>
              </w:rPr>
              <w:t>Rômulo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E5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D0BE5" w:rsidRPr="004D0BE5" w:rsidRDefault="004D0BE5" w:rsidP="004D0BE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4D0BE5" w:rsidRDefault="00BF1FEF" w:rsidP="005D6DF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4D0BE5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4D0BE5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917E5F" w:rsidRPr="004D0BE5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BF1FEF" w:rsidRPr="004D0BE5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4D0BE5" w:rsidRDefault="00BF1FE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917E5F" w:rsidRPr="004D0BE5">
              <w:rPr>
                <w:rFonts w:ascii="Times New Roman" w:hAnsi="Times New Roman"/>
                <w:b/>
                <w:sz w:val="20"/>
                <w:szCs w:val="22"/>
              </w:rPr>
              <w:t>107</w:t>
            </w:r>
          </w:p>
          <w:p w:rsidR="00917E5F" w:rsidRPr="004D0BE5" w:rsidRDefault="00917E5F" w:rsidP="005D6DF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4D0BE5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E5F" w:rsidRPr="004D0BE5" w:rsidRDefault="00BF1FEF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917E5F" w:rsidRPr="004D0BE5">
              <w:rPr>
                <w:rFonts w:ascii="Times New Roman" w:hAnsi="Times New Roman"/>
                <w:sz w:val="20"/>
                <w:szCs w:val="22"/>
              </w:rPr>
              <w:t>24/04/2020</w:t>
            </w:r>
          </w:p>
          <w:p w:rsidR="00BF1FEF" w:rsidRPr="004D0BE5" w:rsidRDefault="001A1D85" w:rsidP="005D6DF2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D0BE5">
              <w:rPr>
                <w:rFonts w:ascii="Times New Roman" w:hAnsi="Times New Roman"/>
                <w:sz w:val="20"/>
                <w:szCs w:val="22"/>
              </w:rPr>
              <w:tab/>
            </w:r>
          </w:p>
          <w:p w:rsidR="00917E5F" w:rsidRPr="004D0BE5" w:rsidRDefault="00BF1FE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917E5F" w:rsidRPr="004D0BE5">
              <w:rPr>
                <w:rFonts w:ascii="Times New Roman" w:hAnsi="Times New Roman"/>
                <w:b/>
                <w:sz w:val="20"/>
                <w:szCs w:val="22"/>
              </w:rPr>
              <w:t>115</w:t>
            </w:r>
            <w:r w:rsidR="003E736F" w:rsidRPr="004D0BE5">
              <w:rPr>
                <w:rFonts w:ascii="Times New Roman" w:hAnsi="Times New Roman"/>
                <w:b/>
                <w:sz w:val="20"/>
                <w:szCs w:val="22"/>
              </w:rPr>
              <w:t>6</w:t>
            </w:r>
            <w:r w:rsidR="00D73703" w:rsidRPr="004D0BE5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  <w:r w:rsidR="00991486"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3E736F" w:rsidRPr="004D0BE5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Homologa o Ad Referendum 007/2020 e ratifica a prorrogação da suspensão de prazos processuais de qualquer natureza, no âmbito do CAU/RS</w:t>
            </w:r>
            <w:r w:rsidR="003E736F" w:rsidRPr="004D0BE5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3E736F" w:rsidRPr="004D0BE5" w:rsidRDefault="003E736F" w:rsidP="005D6DF2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D0BE5" w:rsidRPr="004D0BE5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4D0BE5" w:rsidRPr="004D0BE5" w:rsidRDefault="004D0BE5" w:rsidP="004D0BE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 xml:space="preserve">(17) </w:t>
            </w: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4D0BE5">
              <w:rPr>
                <w:rFonts w:ascii="Times New Roman" w:hAnsi="Times New Roman"/>
                <w:sz w:val="20"/>
                <w:szCs w:val="22"/>
              </w:rPr>
              <w:t>( )</w:t>
            </w:r>
            <w:proofErr w:type="gramEnd"/>
            <w:r w:rsidRPr="004D0BE5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 xml:space="preserve">(01) </w:t>
            </w: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>(18)</w:t>
            </w:r>
          </w:p>
          <w:p w:rsidR="004D0BE5" w:rsidRPr="004D0BE5" w:rsidRDefault="004D0BE5" w:rsidP="004D0BE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4D0BE5" w:rsidRPr="004D0BE5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4D0BE5" w:rsidRPr="004D0BE5" w:rsidRDefault="004D0BE5" w:rsidP="004D0BE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>V</w:t>
            </w:r>
            <w:r w:rsidRPr="004D0BE5">
              <w:rPr>
                <w:rFonts w:ascii="Times New Roman" w:hAnsi="Times New Roman"/>
                <w:sz w:val="20"/>
                <w:szCs w:val="20"/>
              </w:rPr>
              <w:t xml:space="preserve">otação realizada eletronicamente, registrando manualmente os votos dos conselheiros Roberto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Decó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 xml:space="preserve">, Paulo Fontana, Ana Rosa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Cé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 xml:space="preserve">, Renata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Maraschin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 xml:space="preserve"> e Jorge </w:t>
            </w:r>
            <w:proofErr w:type="spellStart"/>
            <w:r w:rsidRPr="004D0BE5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4D0BE5">
              <w:rPr>
                <w:rFonts w:ascii="Times New Roman" w:hAnsi="Times New Roman"/>
                <w:sz w:val="20"/>
                <w:szCs w:val="20"/>
              </w:rPr>
              <w:t>, devido a problemas técnicos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 xml:space="preserve">. </w:t>
            </w:r>
          </w:p>
          <w:p w:rsidR="004D0BE5" w:rsidRPr="004D0BE5" w:rsidRDefault="004D0BE5" w:rsidP="004D0BE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4D0BE5" w:rsidRPr="004D0BE5" w:rsidRDefault="004D0BE5" w:rsidP="004D0BE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4D0BE5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4D0BE5" w:rsidRDefault="00EC23EA" w:rsidP="005D6DF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4D0BE5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4D0BE5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4D0BE5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4D0BE5" w:rsidRDefault="00633481" w:rsidP="005D6DF2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4D0BE5"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4D0BE5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1A1D85" w:rsidRPr="004D0BE5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1A1D85" w:rsidRPr="004D0BE5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="001A1D85" w:rsidRPr="004D0BE5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</w:t>
            </w:r>
            <w:r w:rsidR="00313BFD" w:rsidRPr="004D0BE5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Pr="004D0BE5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  <w:r w:rsidR="006E4AA0" w:rsidRPr="004D0BE5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4D0BE5" w:rsidRDefault="00BF1FEF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BF1FEF" w:rsidRPr="004D0BE5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86FD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75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E736F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0BE5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FD0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1B3B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D7592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993B-D750-4C98-AF3C-C50BA5A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2019-10-25T17:16:00Z</cp:lastPrinted>
  <dcterms:created xsi:type="dcterms:W3CDTF">2020-04-23T21:13:00Z</dcterms:created>
  <dcterms:modified xsi:type="dcterms:W3CDTF">2020-04-27T21:16:00Z</dcterms:modified>
</cp:coreProperties>
</file>