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5D6DF2" w:rsidRDefault="008B0AF4" w:rsidP="005D6DF2">
      <w:pPr>
        <w:rPr>
          <w:rFonts w:ascii="Times New Roman" w:hAnsi="Times New Roman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5D6DF2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5D6DF2" w:rsidRDefault="00FD4628" w:rsidP="005D6DF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5D6DF2" w:rsidRDefault="00FD4628" w:rsidP="005D6DF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5D6D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5D6DF2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1917E5" w:rsidRDefault="00FD4628" w:rsidP="005D6DF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917E5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1917E5" w:rsidRDefault="001917E5" w:rsidP="001917E5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917E5">
              <w:rPr>
                <w:rFonts w:ascii="Times New Roman" w:eastAsiaTheme="minorHAnsi" w:hAnsi="Times New Roman"/>
                <w:color w:val="000000"/>
                <w:sz w:val="22"/>
                <w:szCs w:val="22"/>
              </w:rPr>
              <w:t>Homologa relatório de Contingência Financeira do CAU/RS para o Exercício de 2020.</w:t>
            </w:r>
          </w:p>
        </w:tc>
      </w:tr>
    </w:tbl>
    <w:p w:rsidR="00124A49" w:rsidRPr="005D6DF2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6DF2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5D6DF2">
        <w:rPr>
          <w:rFonts w:ascii="Times New Roman" w:hAnsi="Times New Roman"/>
          <w:sz w:val="22"/>
          <w:szCs w:val="22"/>
          <w:lang w:eastAsia="pt-BR"/>
        </w:rPr>
        <w:t>/RS</w:t>
      </w:r>
      <w:r w:rsidRPr="005D6DF2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11</w:t>
      </w:r>
      <w:r w:rsidR="00E7666F">
        <w:rPr>
          <w:rFonts w:ascii="Times New Roman" w:hAnsi="Times New Roman"/>
          <w:sz w:val="22"/>
          <w:szCs w:val="22"/>
          <w:lang w:eastAsia="pt-BR"/>
        </w:rPr>
        <w:t>6</w:t>
      </w:r>
      <w:r w:rsidR="008663BB">
        <w:rPr>
          <w:rFonts w:ascii="Times New Roman" w:hAnsi="Times New Roman"/>
          <w:sz w:val="22"/>
          <w:szCs w:val="22"/>
          <w:lang w:eastAsia="pt-BR"/>
        </w:rPr>
        <w:t>5</w:t>
      </w:r>
      <w:r w:rsidRPr="005D6DF2">
        <w:rPr>
          <w:rFonts w:ascii="Times New Roman" w:hAnsi="Times New Roman"/>
          <w:sz w:val="22"/>
          <w:szCs w:val="22"/>
          <w:lang w:eastAsia="pt-BR"/>
        </w:rPr>
        <w:t>/</w:t>
      </w:r>
      <w:r w:rsidR="0049173E" w:rsidRPr="005D6DF2">
        <w:rPr>
          <w:rFonts w:ascii="Times New Roman" w:hAnsi="Times New Roman"/>
          <w:sz w:val="22"/>
          <w:szCs w:val="22"/>
          <w:lang w:eastAsia="pt-BR"/>
        </w:rPr>
        <w:t>20</w:t>
      </w:r>
      <w:r w:rsidR="009316CB" w:rsidRPr="005D6DF2">
        <w:rPr>
          <w:rFonts w:ascii="Times New Roman" w:hAnsi="Times New Roman"/>
          <w:sz w:val="22"/>
          <w:szCs w:val="22"/>
          <w:lang w:eastAsia="pt-BR"/>
        </w:rPr>
        <w:t>20</w:t>
      </w:r>
    </w:p>
    <w:p w:rsidR="00124A49" w:rsidRPr="005D6DF2" w:rsidRDefault="00124A49" w:rsidP="005D6DF2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5D6DF2" w:rsidRDefault="001917E5" w:rsidP="001917E5">
      <w:pPr>
        <w:ind w:left="4956"/>
        <w:jc w:val="both"/>
        <w:rPr>
          <w:rFonts w:ascii="Times New Roman" w:hAnsi="Times New Roman"/>
          <w:bCs/>
          <w:sz w:val="20"/>
          <w:szCs w:val="22"/>
          <w:lang w:eastAsia="pt-BR"/>
        </w:rPr>
      </w:pPr>
      <w:r w:rsidRPr="001917E5">
        <w:rPr>
          <w:rFonts w:ascii="Times New Roman" w:hAnsi="Times New Roman"/>
          <w:bCs/>
          <w:sz w:val="20"/>
          <w:szCs w:val="22"/>
          <w:lang w:eastAsia="pt-BR"/>
        </w:rPr>
        <w:t>Homologa relatório de Contingência Financeira do CAU/RS para o Exercício de 2020.</w:t>
      </w:r>
    </w:p>
    <w:p w:rsidR="001917E5" w:rsidRDefault="001917E5" w:rsidP="001917E5">
      <w:pPr>
        <w:ind w:left="4956"/>
        <w:jc w:val="both"/>
        <w:rPr>
          <w:rFonts w:ascii="Times New Roman" w:hAnsi="Times New Roman"/>
          <w:bCs/>
          <w:sz w:val="20"/>
          <w:szCs w:val="22"/>
          <w:lang w:eastAsia="pt-BR"/>
        </w:rPr>
      </w:pPr>
    </w:p>
    <w:p w:rsidR="001917E5" w:rsidRPr="005D6DF2" w:rsidRDefault="001917E5" w:rsidP="001917E5">
      <w:pPr>
        <w:ind w:left="4956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D6DF2" w:rsidRPr="001D0CA0" w:rsidRDefault="00124A49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D0CA0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1D0CA0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1D0CA0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D0CA0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1D0CA0">
        <w:rPr>
          <w:rFonts w:ascii="Times New Roman" w:hAnsi="Times New Roman"/>
          <w:sz w:val="22"/>
          <w:szCs w:val="22"/>
          <w:lang w:eastAsia="pt-BR"/>
        </w:rPr>
        <w:t>/RS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 reunido ordinariamente </w:t>
      </w:r>
      <w:r w:rsidR="005D6DF2" w:rsidRPr="001D0CA0">
        <w:rPr>
          <w:rFonts w:ascii="Times New Roman" w:hAnsi="Times New Roman"/>
          <w:sz w:val="22"/>
          <w:szCs w:val="22"/>
        </w:rPr>
        <w:t xml:space="preserve">através de sistema de deliberação remota, conforme determina </w:t>
      </w:r>
      <w:r w:rsidR="00EC7191">
        <w:rPr>
          <w:rFonts w:ascii="Times New Roman" w:hAnsi="Times New Roman"/>
          <w:sz w:val="22"/>
          <w:szCs w:val="22"/>
        </w:rPr>
        <w:t xml:space="preserve">a Deliberação Plenária </w:t>
      </w:r>
      <w:r w:rsidR="00EC7191" w:rsidRPr="00EC7191">
        <w:rPr>
          <w:rFonts w:ascii="Times New Roman" w:hAnsi="Times New Roman"/>
          <w:sz w:val="22"/>
          <w:szCs w:val="22"/>
        </w:rPr>
        <w:t>DPO/RS Nº 1155/2020</w:t>
      </w:r>
      <w:r w:rsidRPr="001D0CA0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EC7191">
        <w:rPr>
          <w:rFonts w:ascii="Times New Roman" w:hAnsi="Times New Roman"/>
          <w:sz w:val="22"/>
          <w:szCs w:val="22"/>
          <w:lang w:eastAsia="pt-BR"/>
        </w:rPr>
        <w:t>29</w:t>
      </w:r>
      <w:r w:rsidR="005579C1" w:rsidRPr="001D0CA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7191">
        <w:rPr>
          <w:rFonts w:ascii="Times New Roman" w:hAnsi="Times New Roman"/>
          <w:sz w:val="22"/>
          <w:szCs w:val="22"/>
          <w:lang w:eastAsia="pt-BR"/>
        </w:rPr>
        <w:t xml:space="preserve">maio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de</w:t>
      </w:r>
      <w:r w:rsidR="00186A43" w:rsidRPr="001D0CA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="005D6DF2" w:rsidRPr="001D0CA0">
        <w:rPr>
          <w:rFonts w:ascii="Times New Roman" w:hAnsi="Times New Roman"/>
          <w:sz w:val="22"/>
          <w:szCs w:val="22"/>
          <w:lang w:eastAsia="pt-BR"/>
        </w:rPr>
        <w:t>20</w:t>
      </w:r>
      <w:r w:rsidRPr="001D0CA0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5D6DF2" w:rsidRPr="001D0CA0" w:rsidRDefault="005D6DF2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E30FE" w:rsidRDefault="001917E5" w:rsidP="008E30FE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1917E5">
        <w:rPr>
          <w:rFonts w:ascii="Times New Roman" w:hAnsi="Times New Roman"/>
          <w:sz w:val="22"/>
          <w:szCs w:val="22"/>
          <w:lang w:eastAsia="pt-BR"/>
        </w:rPr>
        <w:t xml:space="preserve">Considerando a Deliberação </w:t>
      </w:r>
      <w:r w:rsidR="004F748D">
        <w:rPr>
          <w:rFonts w:ascii="Times New Roman" w:hAnsi="Times New Roman"/>
          <w:sz w:val="22"/>
          <w:szCs w:val="22"/>
          <w:lang w:eastAsia="pt-BR"/>
        </w:rPr>
        <w:t xml:space="preserve">Plenária DPO/RS </w:t>
      </w:r>
      <w:r w:rsidRPr="001917E5"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="004F748D">
        <w:rPr>
          <w:rFonts w:ascii="Times New Roman" w:hAnsi="Times New Roman"/>
          <w:sz w:val="22"/>
          <w:szCs w:val="22"/>
          <w:lang w:eastAsia="pt-BR"/>
        </w:rPr>
        <w:t>1159</w:t>
      </w:r>
      <w:r w:rsidRPr="001917E5">
        <w:rPr>
          <w:rFonts w:ascii="Times New Roman" w:hAnsi="Times New Roman"/>
          <w:sz w:val="22"/>
          <w:szCs w:val="22"/>
          <w:lang w:eastAsia="pt-BR"/>
        </w:rPr>
        <w:t xml:space="preserve">/2020, que </w:t>
      </w:r>
      <w:r w:rsidR="004F748D">
        <w:rPr>
          <w:rFonts w:ascii="Times New Roman" w:hAnsi="Times New Roman"/>
          <w:sz w:val="22"/>
          <w:szCs w:val="22"/>
        </w:rPr>
        <w:t>homologou e ratificou</w:t>
      </w:r>
      <w:r w:rsidR="004F748D" w:rsidRPr="00325A3A">
        <w:rPr>
          <w:rFonts w:ascii="Times New Roman" w:hAnsi="Times New Roman"/>
          <w:sz w:val="22"/>
          <w:szCs w:val="22"/>
        </w:rPr>
        <w:t xml:space="preserve"> </w:t>
      </w:r>
      <w:r w:rsidR="004F748D" w:rsidRPr="00C65260">
        <w:rPr>
          <w:rFonts w:ascii="Times New Roman" w:eastAsia="Times New Roman" w:hAnsi="Times New Roman"/>
          <w:sz w:val="22"/>
          <w:szCs w:val="22"/>
          <w:shd w:val="clear" w:color="auto" w:fill="FFFFFF"/>
        </w:rPr>
        <w:t>diretrizes para a elaboração</w:t>
      </w:r>
      <w:r w:rsidR="004F748D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e condução</w:t>
      </w:r>
      <w:r w:rsidR="004F748D" w:rsidRPr="00C65260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do Plano de Contingência Financeira do CAU/RS para o Exercício de 2020</w:t>
      </w:r>
      <w:r w:rsidR="00587629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, </w:t>
      </w:r>
      <w:r w:rsidR="00587629" w:rsidRPr="00714E27">
        <w:rPr>
          <w:rFonts w:ascii="Times New Roman" w:eastAsia="Times New Roman" w:hAnsi="Times New Roman"/>
          <w:sz w:val="22"/>
          <w:szCs w:val="22"/>
          <w:shd w:val="clear" w:color="auto" w:fill="FFFFFF"/>
        </w:rPr>
        <w:t>em decorrência das medidas para enfrentamento da emergência de saúde pública</w:t>
      </w:r>
      <w:r w:rsidRPr="001917E5">
        <w:rPr>
          <w:rFonts w:ascii="Times New Roman" w:hAnsi="Times New Roman"/>
          <w:sz w:val="22"/>
          <w:szCs w:val="22"/>
          <w:lang w:eastAsia="pt-BR"/>
        </w:rPr>
        <w:t>;</w:t>
      </w:r>
    </w:p>
    <w:p w:rsidR="008E30FE" w:rsidRDefault="008E30FE" w:rsidP="008E30FE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4F748D" w:rsidRDefault="004F748D" w:rsidP="008E30FE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a </w:t>
      </w:r>
      <w:r w:rsidRPr="004F748D">
        <w:rPr>
          <w:rFonts w:ascii="Times New Roman" w:eastAsiaTheme="minorHAnsi" w:hAnsi="Times New Roman"/>
          <w:sz w:val="22"/>
          <w:szCs w:val="22"/>
        </w:rPr>
        <w:t xml:space="preserve">Deliberação Plenária </w:t>
      </w:r>
      <w:r w:rsidRPr="004F748D">
        <w:rPr>
          <w:rFonts w:ascii="Times New Roman" w:eastAsiaTheme="minorHAnsi" w:hAnsi="Times New Roman"/>
          <w:i/>
          <w:sz w:val="22"/>
          <w:szCs w:val="22"/>
        </w:rPr>
        <w:t>Ad Referendum</w:t>
      </w:r>
      <w:r w:rsidRPr="004F748D">
        <w:rPr>
          <w:rFonts w:ascii="Times New Roman" w:eastAsiaTheme="minorHAnsi" w:hAnsi="Times New Roman"/>
          <w:sz w:val="22"/>
          <w:szCs w:val="22"/>
        </w:rPr>
        <w:t xml:space="preserve"> </w:t>
      </w:r>
      <w:r>
        <w:rPr>
          <w:rFonts w:ascii="Times New Roman" w:eastAsiaTheme="minorHAnsi" w:hAnsi="Times New Roman"/>
          <w:sz w:val="22"/>
          <w:szCs w:val="22"/>
        </w:rPr>
        <w:t>n</w:t>
      </w:r>
      <w:r w:rsidRPr="004F748D">
        <w:rPr>
          <w:rFonts w:ascii="Times New Roman" w:eastAsiaTheme="minorHAnsi" w:hAnsi="Times New Roman"/>
          <w:sz w:val="22"/>
          <w:szCs w:val="22"/>
        </w:rPr>
        <w:t>º</w:t>
      </w:r>
      <w:r>
        <w:rPr>
          <w:rFonts w:ascii="Times New Roman" w:eastAsiaTheme="minorHAnsi" w:hAnsi="Times New Roman"/>
          <w:sz w:val="22"/>
          <w:szCs w:val="22"/>
        </w:rPr>
        <w:t xml:space="preserve"> 00</w:t>
      </w:r>
      <w:r w:rsidRPr="004F748D">
        <w:rPr>
          <w:rFonts w:ascii="Times New Roman" w:eastAsiaTheme="minorHAnsi" w:hAnsi="Times New Roman"/>
          <w:sz w:val="22"/>
          <w:szCs w:val="22"/>
        </w:rPr>
        <w:t>6/2020</w:t>
      </w:r>
      <w:r>
        <w:rPr>
          <w:rFonts w:ascii="Times New Roman" w:eastAsiaTheme="minorHAnsi" w:hAnsi="Times New Roman"/>
          <w:sz w:val="22"/>
          <w:szCs w:val="22"/>
        </w:rPr>
        <w:t xml:space="preserve"> do CAU/BR, que determinou</w:t>
      </w:r>
      <w:r w:rsidRPr="004F748D">
        <w:rPr>
          <w:rFonts w:ascii="Times New Roman" w:eastAsiaTheme="minorHAnsi" w:hAnsi="Times New Roman"/>
          <w:sz w:val="22"/>
          <w:szCs w:val="22"/>
        </w:rPr>
        <w:t xml:space="preserve">, </w:t>
      </w:r>
      <w:r w:rsidRPr="004F748D">
        <w:rPr>
          <w:rFonts w:ascii="Times New Roman" w:eastAsiaTheme="minorHAnsi" w:hAnsi="Times New Roman"/>
          <w:i/>
          <w:sz w:val="22"/>
          <w:szCs w:val="22"/>
        </w:rPr>
        <w:t>ad referendum</w:t>
      </w:r>
      <w:r w:rsidRPr="004F748D">
        <w:rPr>
          <w:rFonts w:ascii="Times New Roman" w:eastAsiaTheme="minorHAnsi" w:hAnsi="Times New Roman"/>
          <w:sz w:val="22"/>
          <w:szCs w:val="22"/>
        </w:rPr>
        <w:t xml:space="preserve"> do Plenário do Conselho de Arquitetura e Urbanismo do Brasil (CAU/BR), que os Conselhos de Arquitetura e Urbanismo dos Estados e do Distrito Federal (CAU/UF) apresentem propostas de MEDIDAS DE CONTENÇÃO DE GASTOS, relativamente aos respectivos Planos de Ação e Orçamentos, referente ao Exercício de 2020, contemplando as despesas obrigatórias e as proposições de cancelamento e de contingenciamento de despesas</w:t>
      </w:r>
      <w:r w:rsidR="00587629">
        <w:rPr>
          <w:rFonts w:ascii="Times New Roman" w:eastAsiaTheme="minorHAnsi" w:hAnsi="Times New Roman"/>
          <w:sz w:val="22"/>
          <w:szCs w:val="22"/>
        </w:rPr>
        <w:t>;</w:t>
      </w:r>
    </w:p>
    <w:p w:rsidR="000C1CFB" w:rsidRPr="001D0CA0" w:rsidRDefault="000C1CFB" w:rsidP="005D6D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1D0CA0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1D0CA0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9B4631" w:rsidRPr="001D0CA0" w:rsidRDefault="009B4631" w:rsidP="005D6D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316CB" w:rsidRPr="001D0CA0" w:rsidRDefault="00587629" w:rsidP="00E7666F">
      <w:pPr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</w:rPr>
      </w:pPr>
      <w:r w:rsidRPr="001917E5">
        <w:rPr>
          <w:rFonts w:ascii="Times New Roman" w:eastAsiaTheme="minorHAnsi" w:hAnsi="Times New Roman"/>
          <w:color w:val="000000"/>
          <w:sz w:val="22"/>
          <w:szCs w:val="22"/>
        </w:rPr>
        <w:t>Homologa</w:t>
      </w:r>
      <w:r>
        <w:rPr>
          <w:rFonts w:ascii="Times New Roman" w:eastAsiaTheme="minorHAnsi" w:hAnsi="Times New Roman"/>
          <w:color w:val="000000"/>
          <w:sz w:val="22"/>
          <w:szCs w:val="22"/>
        </w:rPr>
        <w:t>r</w:t>
      </w:r>
      <w:r w:rsidRPr="001917E5">
        <w:rPr>
          <w:rFonts w:ascii="Times New Roman" w:eastAsiaTheme="minorHAnsi" w:hAnsi="Times New Roman"/>
          <w:color w:val="000000"/>
          <w:sz w:val="22"/>
          <w:szCs w:val="22"/>
        </w:rPr>
        <w:t xml:space="preserve"> relatório de Contingência Financeira do CAU/RS para o Exercício de 2020</w:t>
      </w:r>
      <w:r>
        <w:rPr>
          <w:rFonts w:ascii="Times New Roman" w:eastAsiaTheme="minorHAnsi" w:hAnsi="Times New Roman"/>
          <w:color w:val="000000"/>
          <w:sz w:val="22"/>
          <w:szCs w:val="22"/>
        </w:rPr>
        <w:t>, conforme o anexo desta deliberação.</w:t>
      </w:r>
      <w:bookmarkStart w:id="0" w:name="_GoBack"/>
      <w:bookmarkEnd w:id="0"/>
    </w:p>
    <w:p w:rsidR="00C42ACA" w:rsidRPr="001D0CA0" w:rsidRDefault="00C42ACA" w:rsidP="005D6DF2">
      <w:pPr>
        <w:pStyle w:val="PargrafodaLista"/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71B12" w:rsidRPr="001D0CA0" w:rsidRDefault="00B71B12" w:rsidP="005D6DF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D0CA0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5D6DF2" w:rsidRPr="001D0CA0" w:rsidRDefault="005D6DF2" w:rsidP="005D6DF2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:rsidR="00D25B5F" w:rsidRPr="001D0CA0" w:rsidRDefault="00D25B5F" w:rsidP="00D25B5F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EE5B00">
        <w:rPr>
          <w:rFonts w:ascii="Times New Roman" w:hAnsi="Times New Roman"/>
          <w:sz w:val="22"/>
          <w:szCs w:val="22"/>
          <w:lang w:eastAsia="pt-BR"/>
        </w:rPr>
        <w:t xml:space="preserve">Com 18 (dezoito) votos favoráveis dos conselheiros </w:t>
      </w:r>
      <w:proofErr w:type="spellStart"/>
      <w:r w:rsidRPr="00EE5B00">
        <w:rPr>
          <w:rFonts w:ascii="Times New Roman" w:hAnsi="Times New Roman"/>
          <w:sz w:val="22"/>
          <w:szCs w:val="22"/>
        </w:rPr>
        <w:t>Alvino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E5B00">
        <w:rPr>
          <w:rFonts w:ascii="Times New Roman" w:hAnsi="Times New Roman"/>
          <w:sz w:val="22"/>
          <w:szCs w:val="22"/>
        </w:rPr>
        <w:t>Jara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Carlos </w:t>
      </w:r>
      <w:proofErr w:type="spellStart"/>
      <w:r w:rsidRPr="00EE5B00">
        <w:rPr>
          <w:rFonts w:ascii="Times New Roman" w:hAnsi="Times New Roman"/>
          <w:sz w:val="22"/>
          <w:szCs w:val="22"/>
        </w:rPr>
        <w:t>Pitzer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Claudio Fischer, Helenice Macedo do Couto, Jorge Luís </w:t>
      </w:r>
      <w:proofErr w:type="spellStart"/>
      <w:r w:rsidRPr="00EE5B00">
        <w:rPr>
          <w:rFonts w:ascii="Times New Roman" w:hAnsi="Times New Roman"/>
          <w:sz w:val="22"/>
          <w:szCs w:val="22"/>
        </w:rPr>
        <w:t>Stocker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Júnior, José Arthur Fell, Matias </w:t>
      </w:r>
      <w:proofErr w:type="spellStart"/>
      <w:r w:rsidRPr="00EE5B00">
        <w:rPr>
          <w:rFonts w:ascii="Times New Roman" w:hAnsi="Times New Roman"/>
          <w:sz w:val="22"/>
          <w:szCs w:val="22"/>
        </w:rPr>
        <w:t>Revello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E5B00">
        <w:rPr>
          <w:rFonts w:ascii="Times New Roman" w:hAnsi="Times New Roman"/>
          <w:sz w:val="22"/>
          <w:szCs w:val="22"/>
        </w:rPr>
        <w:t>Vazquez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E5B00">
        <w:rPr>
          <w:rFonts w:ascii="Times New Roman" w:hAnsi="Times New Roman"/>
          <w:sz w:val="22"/>
          <w:szCs w:val="22"/>
        </w:rPr>
        <w:t>Oritz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 Adriano Adams de Campos, Paulo </w:t>
      </w:r>
      <w:proofErr w:type="spellStart"/>
      <w:r w:rsidRPr="00EE5B00">
        <w:rPr>
          <w:rFonts w:ascii="Times New Roman" w:hAnsi="Times New Roman"/>
          <w:sz w:val="22"/>
          <w:szCs w:val="22"/>
        </w:rPr>
        <w:t>Bregatto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Paulo Fontana, Priscila </w:t>
      </w:r>
      <w:proofErr w:type="spellStart"/>
      <w:r w:rsidRPr="00EE5B00">
        <w:rPr>
          <w:rFonts w:ascii="Times New Roman" w:hAnsi="Times New Roman"/>
          <w:sz w:val="22"/>
          <w:szCs w:val="22"/>
        </w:rPr>
        <w:t>Quesada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Raquel </w:t>
      </w:r>
      <w:proofErr w:type="spellStart"/>
      <w:r w:rsidRPr="00EE5B00">
        <w:rPr>
          <w:rFonts w:ascii="Times New Roman" w:hAnsi="Times New Roman"/>
          <w:sz w:val="22"/>
          <w:szCs w:val="22"/>
        </w:rPr>
        <w:t>Bresolin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Renata Camilo </w:t>
      </w:r>
      <w:proofErr w:type="spellStart"/>
      <w:r w:rsidRPr="00EE5B00">
        <w:rPr>
          <w:rFonts w:ascii="Times New Roman" w:hAnsi="Times New Roman"/>
          <w:sz w:val="22"/>
          <w:szCs w:val="22"/>
        </w:rPr>
        <w:t>Maraschin</w:t>
      </w:r>
      <w:proofErr w:type="spellEnd"/>
      <w:r w:rsidRPr="00EE5B00">
        <w:rPr>
          <w:rFonts w:ascii="Times New Roman" w:hAnsi="Times New Roman"/>
          <w:sz w:val="22"/>
          <w:szCs w:val="22"/>
        </w:rPr>
        <w:t xml:space="preserve">, Roberta Edelweiss, Roberto Luiz </w:t>
      </w:r>
      <w:proofErr w:type="spellStart"/>
      <w:r w:rsidRPr="00EE5B00">
        <w:rPr>
          <w:rFonts w:ascii="Times New Roman" w:hAnsi="Times New Roman"/>
          <w:sz w:val="22"/>
          <w:szCs w:val="22"/>
        </w:rPr>
        <w:t>Decó</w:t>
      </w:r>
      <w:proofErr w:type="spellEnd"/>
      <w:r w:rsidRPr="00EE5B00">
        <w:rPr>
          <w:rFonts w:ascii="Times New Roman" w:hAnsi="Times New Roman"/>
          <w:sz w:val="22"/>
          <w:szCs w:val="22"/>
        </w:rPr>
        <w:t>, Rodrigo Spinelli, Rômulo Giralt e Deise Flores.</w:t>
      </w:r>
    </w:p>
    <w:p w:rsidR="00BF1FEF" w:rsidRDefault="00BF1FEF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D25B5F" w:rsidRPr="001D0CA0" w:rsidRDefault="00D25B5F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8210AB" w:rsidRDefault="008210AB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D25B5F" w:rsidRPr="001D0CA0" w:rsidRDefault="00D25B5F" w:rsidP="005D6DF2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BF1FEF" w:rsidRPr="001D0CA0" w:rsidRDefault="00BF1FEF" w:rsidP="005D6DF2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1D0CA0">
        <w:rPr>
          <w:rFonts w:ascii="Times New Roman" w:hAnsi="Times New Roman"/>
          <w:sz w:val="22"/>
          <w:szCs w:val="22"/>
        </w:rPr>
        <w:t xml:space="preserve">Porto Alegre – RS, </w:t>
      </w:r>
      <w:r w:rsidR="00E7666F" w:rsidRPr="001D0CA0">
        <w:rPr>
          <w:rFonts w:ascii="Times New Roman" w:hAnsi="Times New Roman"/>
          <w:sz w:val="22"/>
          <w:szCs w:val="22"/>
        </w:rPr>
        <w:t>29</w:t>
      </w:r>
      <w:r w:rsidR="005579C1" w:rsidRPr="001D0CA0">
        <w:rPr>
          <w:rFonts w:ascii="Times New Roman" w:hAnsi="Times New Roman"/>
          <w:sz w:val="22"/>
          <w:szCs w:val="22"/>
        </w:rPr>
        <w:t xml:space="preserve"> de </w:t>
      </w:r>
      <w:r w:rsidR="00E7666F" w:rsidRPr="001D0CA0">
        <w:rPr>
          <w:rFonts w:ascii="Times New Roman" w:hAnsi="Times New Roman"/>
          <w:sz w:val="22"/>
          <w:szCs w:val="22"/>
        </w:rPr>
        <w:t xml:space="preserve">maio </w:t>
      </w:r>
      <w:r w:rsidRPr="001D0CA0">
        <w:rPr>
          <w:rFonts w:ascii="Times New Roman" w:hAnsi="Times New Roman"/>
          <w:sz w:val="22"/>
          <w:szCs w:val="22"/>
        </w:rPr>
        <w:t xml:space="preserve">de </w:t>
      </w:r>
      <w:r w:rsidR="005D6DF2" w:rsidRPr="001D0CA0">
        <w:rPr>
          <w:rFonts w:ascii="Times New Roman" w:hAnsi="Times New Roman"/>
          <w:sz w:val="22"/>
          <w:szCs w:val="22"/>
        </w:rPr>
        <w:t>2020</w:t>
      </w:r>
      <w:r w:rsidRPr="001D0CA0">
        <w:rPr>
          <w:rFonts w:ascii="Times New Roman" w:hAnsi="Times New Roman"/>
          <w:sz w:val="22"/>
          <w:szCs w:val="22"/>
        </w:rPr>
        <w:t>.</w:t>
      </w:r>
    </w:p>
    <w:p w:rsidR="0019498C" w:rsidRDefault="0019498C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D25B5F" w:rsidRPr="001D0CA0" w:rsidRDefault="00D25B5F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1D0CA0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D6DF2" w:rsidRPr="001D0CA0" w:rsidRDefault="005D6DF2" w:rsidP="005D6DF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1D0CA0" w:rsidRDefault="005579C1" w:rsidP="005D6DF2">
      <w:pPr>
        <w:tabs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1D0CA0">
        <w:rPr>
          <w:rFonts w:ascii="Times New Roman" w:hAnsi="Times New Roman"/>
          <w:b/>
          <w:bCs/>
          <w:sz w:val="22"/>
          <w:szCs w:val="22"/>
        </w:rPr>
        <w:t xml:space="preserve">TIAGO HOLZMANN DA SILVA </w:t>
      </w:r>
    </w:p>
    <w:p w:rsidR="0019498C" w:rsidRPr="001D0CA0" w:rsidRDefault="0048600D" w:rsidP="005D6DF2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1D0CA0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587629" w:rsidRDefault="00C76D67" w:rsidP="005D6DF2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D0CA0"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48600D" w:rsidRPr="008E46E4" w:rsidRDefault="0048600D" w:rsidP="0048600D">
      <w:pPr>
        <w:tabs>
          <w:tab w:val="left" w:pos="1418"/>
        </w:tabs>
        <w:jc w:val="center"/>
        <w:rPr>
          <w:rFonts w:ascii="Times New Roman" w:hAnsi="Times New Roman"/>
          <w:b/>
          <w:bCs/>
          <w:sz w:val="2"/>
          <w:szCs w:val="2"/>
          <w:lang w:eastAsia="pt-BR"/>
        </w:rPr>
      </w:pPr>
    </w:p>
    <w:tbl>
      <w:tblPr>
        <w:tblStyle w:val="TabeladeGrade6Colorida"/>
        <w:tblW w:w="10206" w:type="dxa"/>
        <w:tblInd w:w="-572" w:type="dxa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3051"/>
        <w:gridCol w:w="2466"/>
        <w:gridCol w:w="1145"/>
      </w:tblGrid>
      <w:tr w:rsidR="0048600D" w:rsidRPr="00141D12" w:rsidTr="00784B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6"/>
            <w:vAlign w:val="center"/>
          </w:tcPr>
          <w:p w:rsidR="0048600D" w:rsidRPr="00141D12" w:rsidRDefault="0048600D" w:rsidP="0048600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color w:val="auto"/>
                <w:sz w:val="19"/>
                <w:szCs w:val="19"/>
              </w:rPr>
              <w:t>VOTAÇÃO DA DELIBERAÇÃO PLENÁRIA DPO/RS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 xml:space="preserve"> Nº 116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 xml:space="preserve">/2020 - PROTOCOLO Nº </w:t>
            </w:r>
          </w:p>
        </w:tc>
      </w:tr>
      <w:tr w:rsidR="0048600D" w:rsidRPr="00141D12" w:rsidTr="00784B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center"/>
          </w:tcPr>
          <w:p w:rsidR="0048600D" w:rsidRPr="00141D12" w:rsidRDefault="0048600D" w:rsidP="00784B0B">
            <w:pPr>
              <w:jc w:val="center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 w:val="0"/>
                <w:bCs w:val="0"/>
                <w:sz w:val="19"/>
                <w:szCs w:val="19"/>
              </w:rPr>
              <w:t>ID</w:t>
            </w:r>
          </w:p>
        </w:tc>
        <w:tc>
          <w:tcPr>
            <w:tcW w:w="1560" w:type="dxa"/>
            <w:vAlign w:val="center"/>
          </w:tcPr>
          <w:p w:rsidR="0048600D" w:rsidRPr="00141D12" w:rsidRDefault="0048600D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HORA DE INÍCIO</w:t>
            </w:r>
          </w:p>
        </w:tc>
        <w:tc>
          <w:tcPr>
            <w:tcW w:w="1559" w:type="dxa"/>
            <w:vAlign w:val="center"/>
          </w:tcPr>
          <w:p w:rsidR="0048600D" w:rsidRPr="00141D12" w:rsidRDefault="0048600D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HORA DE CONCLUSÃO</w:t>
            </w:r>
          </w:p>
        </w:tc>
        <w:tc>
          <w:tcPr>
            <w:tcW w:w="3051" w:type="dxa"/>
            <w:vAlign w:val="center"/>
          </w:tcPr>
          <w:p w:rsidR="0048600D" w:rsidRPr="00141D12" w:rsidRDefault="0048600D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EMAIL</w:t>
            </w:r>
          </w:p>
        </w:tc>
        <w:tc>
          <w:tcPr>
            <w:tcW w:w="2466" w:type="dxa"/>
            <w:vAlign w:val="center"/>
          </w:tcPr>
          <w:p w:rsidR="0048600D" w:rsidRPr="00141D12" w:rsidRDefault="0048600D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NOME</w:t>
            </w:r>
          </w:p>
        </w:tc>
        <w:tc>
          <w:tcPr>
            <w:tcW w:w="1145" w:type="dxa"/>
            <w:vAlign w:val="center"/>
          </w:tcPr>
          <w:p w:rsidR="0048600D" w:rsidRPr="00141D12" w:rsidRDefault="0048600D" w:rsidP="00784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9"/>
                <w:szCs w:val="19"/>
              </w:rPr>
            </w:pPr>
            <w:r w:rsidRPr="00141D12">
              <w:rPr>
                <w:rFonts w:ascii="Times New Roman" w:hAnsi="Times New Roman"/>
                <w:bCs/>
                <w:sz w:val="19"/>
                <w:szCs w:val="19"/>
              </w:rPr>
              <w:t>VOTAÇÃO</w:t>
            </w:r>
          </w:p>
        </w:tc>
      </w:tr>
      <w:tr w:rsidR="0048600D" w:rsidRPr="00141D12" w:rsidTr="009A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48600D" w:rsidRPr="0048600D" w:rsidRDefault="0048600D" w:rsidP="0048600D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bottom"/>
          </w:tcPr>
          <w:p w:rsidR="0048600D" w:rsidRPr="0048600D" w:rsidRDefault="0048600D" w:rsidP="00486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14:25:46</w:t>
            </w:r>
          </w:p>
        </w:tc>
        <w:tc>
          <w:tcPr>
            <w:tcW w:w="1559" w:type="dxa"/>
            <w:vAlign w:val="bottom"/>
          </w:tcPr>
          <w:p w:rsidR="0048600D" w:rsidRPr="0048600D" w:rsidRDefault="0048600D" w:rsidP="00486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14:25:50</w:t>
            </w:r>
          </w:p>
        </w:tc>
        <w:tc>
          <w:tcPr>
            <w:tcW w:w="3051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cons.jorge.stocker@caurs.gov.br</w:t>
            </w:r>
          </w:p>
        </w:tc>
        <w:tc>
          <w:tcPr>
            <w:tcW w:w="2466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Jorge Luís </w:t>
            </w: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Stocker</w:t>
            </w:r>
            <w:proofErr w:type="spellEnd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Júnior</w:t>
            </w:r>
          </w:p>
        </w:tc>
        <w:tc>
          <w:tcPr>
            <w:tcW w:w="1145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48600D" w:rsidRPr="00141D12" w:rsidTr="009A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48600D" w:rsidRPr="0048600D" w:rsidRDefault="0048600D" w:rsidP="0048600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bottom"/>
          </w:tcPr>
          <w:p w:rsidR="0048600D" w:rsidRPr="0048600D" w:rsidRDefault="0048600D" w:rsidP="00486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14:25:47</w:t>
            </w:r>
          </w:p>
        </w:tc>
        <w:tc>
          <w:tcPr>
            <w:tcW w:w="1559" w:type="dxa"/>
            <w:vAlign w:val="bottom"/>
          </w:tcPr>
          <w:p w:rsidR="0048600D" w:rsidRPr="0048600D" w:rsidRDefault="0048600D" w:rsidP="00486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14:25:51</w:t>
            </w:r>
          </w:p>
        </w:tc>
        <w:tc>
          <w:tcPr>
            <w:tcW w:w="3051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cons.raquel.bresolin@caurs.gov.br</w:t>
            </w:r>
          </w:p>
        </w:tc>
        <w:tc>
          <w:tcPr>
            <w:tcW w:w="2466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Raquel </w:t>
            </w: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Bresolin</w:t>
            </w:r>
            <w:proofErr w:type="spellEnd"/>
          </w:p>
        </w:tc>
        <w:tc>
          <w:tcPr>
            <w:tcW w:w="1145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48600D" w:rsidRPr="00141D12" w:rsidTr="009A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48600D" w:rsidRPr="0048600D" w:rsidRDefault="0048600D" w:rsidP="0048600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bottom"/>
          </w:tcPr>
          <w:p w:rsidR="0048600D" w:rsidRPr="0048600D" w:rsidRDefault="0048600D" w:rsidP="00486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14:25:50</w:t>
            </w:r>
          </w:p>
        </w:tc>
        <w:tc>
          <w:tcPr>
            <w:tcW w:w="1559" w:type="dxa"/>
            <w:vAlign w:val="bottom"/>
          </w:tcPr>
          <w:p w:rsidR="0048600D" w:rsidRPr="0048600D" w:rsidRDefault="0048600D" w:rsidP="00486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14:25:55</w:t>
            </w:r>
          </w:p>
        </w:tc>
        <w:tc>
          <w:tcPr>
            <w:tcW w:w="3051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cons.rodrigo.spinelli@caurs.gov.br</w:t>
            </w:r>
          </w:p>
        </w:tc>
        <w:tc>
          <w:tcPr>
            <w:tcW w:w="2466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Rodrigo Spinelli</w:t>
            </w:r>
          </w:p>
        </w:tc>
        <w:tc>
          <w:tcPr>
            <w:tcW w:w="1145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48600D" w:rsidRPr="00141D12" w:rsidTr="009A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48600D" w:rsidRPr="0048600D" w:rsidRDefault="0048600D" w:rsidP="0048600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48600D" w:rsidRPr="0048600D" w:rsidRDefault="0048600D" w:rsidP="00486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14:25:51</w:t>
            </w:r>
          </w:p>
        </w:tc>
        <w:tc>
          <w:tcPr>
            <w:tcW w:w="1559" w:type="dxa"/>
            <w:vAlign w:val="bottom"/>
          </w:tcPr>
          <w:p w:rsidR="0048600D" w:rsidRPr="0048600D" w:rsidRDefault="0048600D" w:rsidP="00486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14:25:55</w:t>
            </w:r>
          </w:p>
        </w:tc>
        <w:tc>
          <w:tcPr>
            <w:tcW w:w="3051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cons.oritz.campos@caurs.gov.br</w:t>
            </w:r>
          </w:p>
        </w:tc>
        <w:tc>
          <w:tcPr>
            <w:tcW w:w="2466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Oritz</w:t>
            </w:r>
            <w:proofErr w:type="spellEnd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Adriano de Campos</w:t>
            </w:r>
          </w:p>
        </w:tc>
        <w:tc>
          <w:tcPr>
            <w:tcW w:w="1145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48600D" w:rsidRPr="00141D12" w:rsidTr="009A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48600D" w:rsidRPr="0048600D" w:rsidRDefault="0048600D" w:rsidP="0048600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48600D" w:rsidRPr="0048600D" w:rsidRDefault="0048600D" w:rsidP="00486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14:25:52</w:t>
            </w:r>
          </w:p>
        </w:tc>
        <w:tc>
          <w:tcPr>
            <w:tcW w:w="1559" w:type="dxa"/>
            <w:vAlign w:val="bottom"/>
          </w:tcPr>
          <w:p w:rsidR="0048600D" w:rsidRPr="0048600D" w:rsidRDefault="0048600D" w:rsidP="00486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14:25:57</w:t>
            </w:r>
          </w:p>
        </w:tc>
        <w:tc>
          <w:tcPr>
            <w:tcW w:w="3051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cons.romulo.giralt@caurs.gov.br</w:t>
            </w:r>
          </w:p>
        </w:tc>
        <w:tc>
          <w:tcPr>
            <w:tcW w:w="2466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Rômulo Giralt</w:t>
            </w:r>
          </w:p>
        </w:tc>
        <w:tc>
          <w:tcPr>
            <w:tcW w:w="1145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48600D" w:rsidRPr="00141D12" w:rsidTr="009A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48600D" w:rsidRPr="0048600D" w:rsidRDefault="0048600D" w:rsidP="0048600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bottom"/>
          </w:tcPr>
          <w:p w:rsidR="0048600D" w:rsidRPr="0048600D" w:rsidRDefault="0048600D" w:rsidP="00486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14:25:52</w:t>
            </w:r>
          </w:p>
        </w:tc>
        <w:tc>
          <w:tcPr>
            <w:tcW w:w="1559" w:type="dxa"/>
            <w:vAlign w:val="bottom"/>
          </w:tcPr>
          <w:p w:rsidR="0048600D" w:rsidRPr="0048600D" w:rsidRDefault="0048600D" w:rsidP="00486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14:25:58</w:t>
            </w:r>
          </w:p>
        </w:tc>
        <w:tc>
          <w:tcPr>
            <w:tcW w:w="3051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cons.priscila.quesada@caurs.gov.br</w:t>
            </w:r>
          </w:p>
        </w:tc>
        <w:tc>
          <w:tcPr>
            <w:tcW w:w="2466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Priscila </w:t>
            </w: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Quesada</w:t>
            </w:r>
            <w:proofErr w:type="spellEnd"/>
          </w:p>
        </w:tc>
        <w:tc>
          <w:tcPr>
            <w:tcW w:w="1145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48600D" w:rsidRPr="00141D12" w:rsidTr="009A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48600D" w:rsidRPr="0048600D" w:rsidRDefault="0048600D" w:rsidP="0048600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bottom"/>
          </w:tcPr>
          <w:p w:rsidR="0048600D" w:rsidRPr="0048600D" w:rsidRDefault="0048600D" w:rsidP="00486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14:25:51</w:t>
            </w:r>
          </w:p>
        </w:tc>
        <w:tc>
          <w:tcPr>
            <w:tcW w:w="1559" w:type="dxa"/>
            <w:vAlign w:val="bottom"/>
          </w:tcPr>
          <w:p w:rsidR="0048600D" w:rsidRPr="0048600D" w:rsidRDefault="0048600D" w:rsidP="00486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14:26:00</w:t>
            </w:r>
          </w:p>
        </w:tc>
        <w:tc>
          <w:tcPr>
            <w:tcW w:w="3051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cons.roberto.deco@caurs.gov.br</w:t>
            </w:r>
          </w:p>
        </w:tc>
        <w:tc>
          <w:tcPr>
            <w:tcW w:w="2466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Roberto Luiz </w:t>
            </w: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Decó</w:t>
            </w:r>
            <w:proofErr w:type="spellEnd"/>
          </w:p>
        </w:tc>
        <w:tc>
          <w:tcPr>
            <w:tcW w:w="1145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48600D" w:rsidRPr="00141D12" w:rsidTr="009A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48600D" w:rsidRPr="0048600D" w:rsidRDefault="0048600D" w:rsidP="0048600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vAlign w:val="bottom"/>
          </w:tcPr>
          <w:p w:rsidR="0048600D" w:rsidRPr="0048600D" w:rsidRDefault="0048600D" w:rsidP="00486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14:25:49</w:t>
            </w:r>
          </w:p>
        </w:tc>
        <w:tc>
          <w:tcPr>
            <w:tcW w:w="1559" w:type="dxa"/>
            <w:vAlign w:val="bottom"/>
          </w:tcPr>
          <w:p w:rsidR="0048600D" w:rsidRPr="0048600D" w:rsidRDefault="0048600D" w:rsidP="00486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14:26:00</w:t>
            </w:r>
          </w:p>
        </w:tc>
        <w:tc>
          <w:tcPr>
            <w:tcW w:w="3051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cons.alvino.jara@caurs.gov.br</w:t>
            </w:r>
          </w:p>
        </w:tc>
        <w:tc>
          <w:tcPr>
            <w:tcW w:w="2466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Alvino</w:t>
            </w:r>
            <w:proofErr w:type="spellEnd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Jara</w:t>
            </w:r>
            <w:proofErr w:type="spellEnd"/>
          </w:p>
        </w:tc>
        <w:tc>
          <w:tcPr>
            <w:tcW w:w="1145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48600D" w:rsidRPr="00141D12" w:rsidTr="009A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48600D" w:rsidRPr="0048600D" w:rsidRDefault="0048600D" w:rsidP="0048600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48600D" w:rsidRPr="0048600D" w:rsidRDefault="0048600D" w:rsidP="00486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14:25:52</w:t>
            </w:r>
          </w:p>
        </w:tc>
        <w:tc>
          <w:tcPr>
            <w:tcW w:w="1559" w:type="dxa"/>
            <w:vAlign w:val="bottom"/>
          </w:tcPr>
          <w:p w:rsidR="0048600D" w:rsidRPr="0048600D" w:rsidRDefault="0048600D" w:rsidP="00486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14:26:01</w:t>
            </w:r>
          </w:p>
        </w:tc>
        <w:tc>
          <w:tcPr>
            <w:tcW w:w="3051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cons.matias.vazquez@caurs.gov.br</w:t>
            </w:r>
          </w:p>
        </w:tc>
        <w:tc>
          <w:tcPr>
            <w:tcW w:w="2466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Matias </w:t>
            </w: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Revello</w:t>
            </w:r>
            <w:proofErr w:type="spellEnd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Vazquez</w:t>
            </w:r>
            <w:proofErr w:type="spellEnd"/>
          </w:p>
        </w:tc>
        <w:tc>
          <w:tcPr>
            <w:tcW w:w="1145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48600D" w:rsidRPr="00141D12" w:rsidTr="009A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48600D" w:rsidRPr="0048600D" w:rsidRDefault="0048600D" w:rsidP="0048600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bottom"/>
          </w:tcPr>
          <w:p w:rsidR="0048600D" w:rsidRPr="0048600D" w:rsidRDefault="0048600D" w:rsidP="00486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14:25:55</w:t>
            </w:r>
          </w:p>
        </w:tc>
        <w:tc>
          <w:tcPr>
            <w:tcW w:w="1559" w:type="dxa"/>
            <w:vAlign w:val="bottom"/>
          </w:tcPr>
          <w:p w:rsidR="0048600D" w:rsidRPr="0048600D" w:rsidRDefault="0048600D" w:rsidP="00486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14:26:01</w:t>
            </w:r>
          </w:p>
        </w:tc>
        <w:tc>
          <w:tcPr>
            <w:tcW w:w="3051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cons.renata.maraschi@caurs.gov.br</w:t>
            </w:r>
          </w:p>
        </w:tc>
        <w:tc>
          <w:tcPr>
            <w:tcW w:w="2466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Renata Camilo </w:t>
            </w: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Maraschin</w:t>
            </w:r>
            <w:proofErr w:type="spellEnd"/>
          </w:p>
        </w:tc>
        <w:tc>
          <w:tcPr>
            <w:tcW w:w="1145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48600D" w:rsidRPr="00141D12" w:rsidTr="009A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48600D" w:rsidRPr="0048600D" w:rsidRDefault="0048600D" w:rsidP="0048600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bottom"/>
          </w:tcPr>
          <w:p w:rsidR="0048600D" w:rsidRPr="0048600D" w:rsidRDefault="0048600D" w:rsidP="00486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14:25:58</w:t>
            </w:r>
          </w:p>
        </w:tc>
        <w:tc>
          <w:tcPr>
            <w:tcW w:w="1559" w:type="dxa"/>
            <w:vAlign w:val="bottom"/>
          </w:tcPr>
          <w:p w:rsidR="0048600D" w:rsidRPr="0048600D" w:rsidRDefault="0048600D" w:rsidP="00486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14:26:04</w:t>
            </w:r>
          </w:p>
        </w:tc>
        <w:tc>
          <w:tcPr>
            <w:tcW w:w="3051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cons.paulo.bregatto@caurs.gov.br</w:t>
            </w:r>
          </w:p>
        </w:tc>
        <w:tc>
          <w:tcPr>
            <w:tcW w:w="2466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Paulo </w:t>
            </w: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Bregatto</w:t>
            </w:r>
            <w:proofErr w:type="spellEnd"/>
          </w:p>
        </w:tc>
        <w:tc>
          <w:tcPr>
            <w:tcW w:w="1145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48600D" w:rsidRPr="00141D12" w:rsidTr="009A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48600D" w:rsidRPr="0048600D" w:rsidRDefault="0048600D" w:rsidP="0048600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bottom"/>
          </w:tcPr>
          <w:p w:rsidR="0048600D" w:rsidRPr="0048600D" w:rsidRDefault="0048600D" w:rsidP="00486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14:26:10</w:t>
            </w:r>
          </w:p>
        </w:tc>
        <w:tc>
          <w:tcPr>
            <w:tcW w:w="1559" w:type="dxa"/>
            <w:vAlign w:val="bottom"/>
          </w:tcPr>
          <w:p w:rsidR="0048600D" w:rsidRPr="0048600D" w:rsidRDefault="0048600D" w:rsidP="00486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14:26:13</w:t>
            </w:r>
          </w:p>
        </w:tc>
        <w:tc>
          <w:tcPr>
            <w:tcW w:w="3051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cons.roberta.edelweiss@caurs.gov.br</w:t>
            </w:r>
          </w:p>
        </w:tc>
        <w:tc>
          <w:tcPr>
            <w:tcW w:w="2466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Roberta Edelweiss</w:t>
            </w:r>
          </w:p>
        </w:tc>
        <w:tc>
          <w:tcPr>
            <w:tcW w:w="1145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48600D" w:rsidRPr="00141D12" w:rsidTr="009A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48600D" w:rsidRPr="0048600D" w:rsidRDefault="0048600D" w:rsidP="0048600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vAlign w:val="bottom"/>
          </w:tcPr>
          <w:p w:rsidR="0048600D" w:rsidRPr="0048600D" w:rsidRDefault="0048600D" w:rsidP="00486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14:26:03</w:t>
            </w:r>
          </w:p>
        </w:tc>
        <w:tc>
          <w:tcPr>
            <w:tcW w:w="1559" w:type="dxa"/>
            <w:vAlign w:val="bottom"/>
          </w:tcPr>
          <w:p w:rsidR="0048600D" w:rsidRPr="0048600D" w:rsidRDefault="0048600D" w:rsidP="00486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14:26:13</w:t>
            </w:r>
          </w:p>
        </w:tc>
        <w:tc>
          <w:tcPr>
            <w:tcW w:w="3051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cons.paulo.fontana@caurs.gov.br</w:t>
            </w:r>
          </w:p>
        </w:tc>
        <w:tc>
          <w:tcPr>
            <w:tcW w:w="2466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Paulo Fontana</w:t>
            </w:r>
          </w:p>
        </w:tc>
        <w:tc>
          <w:tcPr>
            <w:tcW w:w="1145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48600D" w:rsidRPr="00141D12" w:rsidTr="009A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48600D" w:rsidRPr="0048600D" w:rsidRDefault="0048600D" w:rsidP="0048600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vAlign w:val="bottom"/>
          </w:tcPr>
          <w:p w:rsidR="0048600D" w:rsidRPr="0048600D" w:rsidRDefault="0048600D" w:rsidP="00486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14:26:18</w:t>
            </w:r>
          </w:p>
        </w:tc>
        <w:tc>
          <w:tcPr>
            <w:tcW w:w="1559" w:type="dxa"/>
            <w:vAlign w:val="bottom"/>
          </w:tcPr>
          <w:p w:rsidR="0048600D" w:rsidRPr="0048600D" w:rsidRDefault="0048600D" w:rsidP="00486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14:26:22</w:t>
            </w:r>
          </w:p>
        </w:tc>
        <w:tc>
          <w:tcPr>
            <w:tcW w:w="3051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cons.carlos.pitzer@caurs.gov.br</w:t>
            </w:r>
          </w:p>
        </w:tc>
        <w:tc>
          <w:tcPr>
            <w:tcW w:w="2466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Carlos </w:t>
            </w:r>
            <w:proofErr w:type="spellStart"/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Pitzer</w:t>
            </w:r>
            <w:proofErr w:type="spellEnd"/>
          </w:p>
        </w:tc>
        <w:tc>
          <w:tcPr>
            <w:tcW w:w="1145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48600D" w:rsidRPr="00141D12" w:rsidTr="009A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48600D" w:rsidRPr="0048600D" w:rsidRDefault="0048600D" w:rsidP="0048600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vAlign w:val="bottom"/>
          </w:tcPr>
          <w:p w:rsidR="0048600D" w:rsidRPr="0048600D" w:rsidRDefault="0048600D" w:rsidP="00486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14:26:19</w:t>
            </w:r>
          </w:p>
        </w:tc>
        <w:tc>
          <w:tcPr>
            <w:tcW w:w="1559" w:type="dxa"/>
            <w:vAlign w:val="bottom"/>
          </w:tcPr>
          <w:p w:rsidR="0048600D" w:rsidRPr="0048600D" w:rsidRDefault="0048600D" w:rsidP="00486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14:26:23</w:t>
            </w:r>
          </w:p>
        </w:tc>
        <w:tc>
          <w:tcPr>
            <w:tcW w:w="3051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cons.helenice.couto@caurs.gov.br</w:t>
            </w:r>
          </w:p>
        </w:tc>
        <w:tc>
          <w:tcPr>
            <w:tcW w:w="2466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Helenice Macedo do Couto</w:t>
            </w:r>
          </w:p>
        </w:tc>
        <w:tc>
          <w:tcPr>
            <w:tcW w:w="1145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48600D" w:rsidRPr="00141D12" w:rsidTr="009A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48600D" w:rsidRPr="0048600D" w:rsidRDefault="0048600D" w:rsidP="0048600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vAlign w:val="bottom"/>
          </w:tcPr>
          <w:p w:rsidR="0048600D" w:rsidRPr="0048600D" w:rsidRDefault="0048600D" w:rsidP="00486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14:26:17</w:t>
            </w:r>
          </w:p>
        </w:tc>
        <w:tc>
          <w:tcPr>
            <w:tcW w:w="1559" w:type="dxa"/>
            <w:vAlign w:val="bottom"/>
          </w:tcPr>
          <w:p w:rsidR="0048600D" w:rsidRPr="0048600D" w:rsidRDefault="0048600D" w:rsidP="00486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14:26:24</w:t>
            </w:r>
          </w:p>
        </w:tc>
        <w:tc>
          <w:tcPr>
            <w:tcW w:w="3051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cons.claudio.fischer@caurs.gov.br</w:t>
            </w:r>
          </w:p>
        </w:tc>
        <w:tc>
          <w:tcPr>
            <w:tcW w:w="2466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Claudio Fischer</w:t>
            </w:r>
          </w:p>
        </w:tc>
        <w:tc>
          <w:tcPr>
            <w:tcW w:w="1145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48600D" w:rsidRPr="00141D12" w:rsidTr="009A2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48600D" w:rsidRPr="0048600D" w:rsidRDefault="0048600D" w:rsidP="0048600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48600D" w:rsidRPr="0048600D" w:rsidRDefault="0048600D" w:rsidP="00486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14:32:30</w:t>
            </w:r>
          </w:p>
        </w:tc>
        <w:tc>
          <w:tcPr>
            <w:tcW w:w="1559" w:type="dxa"/>
            <w:vAlign w:val="bottom"/>
          </w:tcPr>
          <w:p w:rsidR="0048600D" w:rsidRPr="0048600D" w:rsidRDefault="0048600D" w:rsidP="00486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14:32:52</w:t>
            </w:r>
          </w:p>
        </w:tc>
        <w:tc>
          <w:tcPr>
            <w:tcW w:w="3051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cons.arthur.fell@caurs.gov.br</w:t>
            </w:r>
          </w:p>
        </w:tc>
        <w:tc>
          <w:tcPr>
            <w:tcW w:w="2466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José Fell</w:t>
            </w:r>
          </w:p>
        </w:tc>
        <w:tc>
          <w:tcPr>
            <w:tcW w:w="1145" w:type="dxa"/>
            <w:vAlign w:val="bottom"/>
          </w:tcPr>
          <w:p w:rsidR="0048600D" w:rsidRPr="0048600D" w:rsidRDefault="0048600D" w:rsidP="00486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  <w:tr w:rsidR="0048600D" w:rsidRPr="00141D12" w:rsidTr="009A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Align w:val="bottom"/>
          </w:tcPr>
          <w:p w:rsidR="0048600D" w:rsidRPr="0048600D" w:rsidRDefault="0048600D" w:rsidP="0048600D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vAlign w:val="bottom"/>
          </w:tcPr>
          <w:p w:rsidR="0048600D" w:rsidRPr="0048600D" w:rsidRDefault="0048600D" w:rsidP="00486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14:41:56</w:t>
            </w:r>
          </w:p>
        </w:tc>
        <w:tc>
          <w:tcPr>
            <w:tcW w:w="1559" w:type="dxa"/>
            <w:vAlign w:val="bottom"/>
          </w:tcPr>
          <w:p w:rsidR="0048600D" w:rsidRPr="0048600D" w:rsidRDefault="0048600D" w:rsidP="00486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5/29/20 14:42:32</w:t>
            </w:r>
          </w:p>
        </w:tc>
        <w:tc>
          <w:tcPr>
            <w:tcW w:w="3051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cons.deise.flores@caurs.gov.br</w:t>
            </w:r>
          </w:p>
        </w:tc>
        <w:tc>
          <w:tcPr>
            <w:tcW w:w="2466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Deise Flores</w:t>
            </w:r>
          </w:p>
        </w:tc>
        <w:tc>
          <w:tcPr>
            <w:tcW w:w="1145" w:type="dxa"/>
            <w:vAlign w:val="bottom"/>
          </w:tcPr>
          <w:p w:rsidR="0048600D" w:rsidRPr="0048600D" w:rsidRDefault="0048600D" w:rsidP="00486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600D">
              <w:rPr>
                <w:rFonts w:ascii="Times New Roman" w:hAnsi="Times New Roman"/>
                <w:color w:val="000000"/>
                <w:sz w:val="18"/>
                <w:szCs w:val="18"/>
              </w:rPr>
              <w:t>Sim</w:t>
            </w:r>
          </w:p>
        </w:tc>
      </w:tr>
    </w:tbl>
    <w:p w:rsidR="0048600D" w:rsidRPr="00141D12" w:rsidRDefault="0048600D" w:rsidP="0048600D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p w:rsidR="0048600D" w:rsidRPr="00141D12" w:rsidRDefault="0048600D" w:rsidP="0048600D">
      <w:pPr>
        <w:tabs>
          <w:tab w:val="left" w:pos="1418"/>
        </w:tabs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page" w:horzAnchor="margin" w:tblpXSpec="center" w:tblpY="8161"/>
        <w:tblW w:w="10535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5389"/>
        <w:gridCol w:w="5146"/>
      </w:tblGrid>
      <w:tr w:rsidR="0048600D" w:rsidRPr="00141D12" w:rsidTr="00784B0B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48600D" w:rsidRPr="00141D12" w:rsidRDefault="0048600D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Histórico da votação: </w:t>
            </w:r>
          </w:p>
          <w:p w:rsidR="0048600D" w:rsidRPr="00141D12" w:rsidRDefault="0048600D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48600D" w:rsidRPr="00141D12" w:rsidTr="00784B0B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48600D" w:rsidRPr="00141D12" w:rsidRDefault="0048600D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18"/>
              </w:rPr>
            </w:pPr>
            <w:proofErr w:type="gramStart"/>
            <w:r w:rsidRPr="00141D12">
              <w:rPr>
                <w:rFonts w:ascii="Times New Roman" w:hAnsi="Times New Roman"/>
                <w:b/>
                <w:sz w:val="18"/>
              </w:rPr>
              <w:t>Plenária Ordinária</w:t>
            </w:r>
            <w:proofErr w:type="gramEnd"/>
            <w:r w:rsidRPr="00141D12">
              <w:rPr>
                <w:rFonts w:ascii="Times New Roman" w:hAnsi="Times New Roman"/>
                <w:b/>
                <w:sz w:val="18"/>
              </w:rPr>
              <w:t xml:space="preserve"> nº 108</w:t>
            </w:r>
          </w:p>
          <w:p w:rsidR="0048600D" w:rsidRPr="00141D12" w:rsidRDefault="0048600D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48600D" w:rsidRPr="00141D12" w:rsidTr="00784B0B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48600D" w:rsidRPr="00141D12" w:rsidRDefault="0048600D" w:rsidP="00784B0B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Data: </w:t>
            </w:r>
            <w:r w:rsidRPr="00141D12">
              <w:rPr>
                <w:rFonts w:ascii="Times New Roman" w:hAnsi="Times New Roman"/>
                <w:sz w:val="18"/>
              </w:rPr>
              <w:t>29/05/2020</w:t>
            </w:r>
          </w:p>
          <w:p w:rsidR="0048600D" w:rsidRPr="00141D12" w:rsidRDefault="0048600D" w:rsidP="00784B0B">
            <w:pPr>
              <w:tabs>
                <w:tab w:val="left" w:pos="1418"/>
                <w:tab w:val="left" w:pos="6180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sz w:val="18"/>
              </w:rPr>
              <w:tab/>
            </w:r>
          </w:p>
          <w:p w:rsidR="0048600D" w:rsidRDefault="0048600D" w:rsidP="0048600D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bCs/>
                <w:sz w:val="20"/>
                <w:szCs w:val="22"/>
                <w:lang w:eastAsia="pt-BR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Matéria em votação: </w:t>
            </w:r>
            <w:r w:rsidRPr="00141D12">
              <w:rPr>
                <w:rFonts w:ascii="Times New Roman" w:hAnsi="Times New Roman"/>
                <w:sz w:val="18"/>
                <w:szCs w:val="18"/>
              </w:rPr>
              <w:t xml:space="preserve"> DPO/RS nº 116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41D12">
              <w:rPr>
                <w:rFonts w:ascii="Times New Roman" w:hAnsi="Times New Roman"/>
                <w:sz w:val="18"/>
                <w:szCs w:val="18"/>
              </w:rPr>
              <w:t>/2020 –</w:t>
            </w:r>
            <w:r w:rsidRPr="0048600D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48600D">
              <w:rPr>
                <w:rFonts w:ascii="Times New Roman" w:eastAsiaTheme="minorHAnsi" w:hAnsi="Times New Roman"/>
                <w:color w:val="000000"/>
                <w:sz w:val="18"/>
                <w:szCs w:val="20"/>
              </w:rPr>
              <w:t>Homologa relatório de Contingência Financeira do CAU/RS para o Exercício de 2020</w:t>
            </w:r>
            <w:r>
              <w:rPr>
                <w:rFonts w:ascii="Times New Roman" w:hAnsi="Times New Roman"/>
                <w:bCs/>
                <w:sz w:val="18"/>
                <w:szCs w:val="20"/>
                <w:lang w:eastAsia="pt-BR"/>
              </w:rPr>
              <w:t>, conforme anexo.</w:t>
            </w:r>
          </w:p>
          <w:p w:rsidR="0048600D" w:rsidRPr="00141D12" w:rsidRDefault="0048600D" w:rsidP="0048600D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48600D" w:rsidRPr="00141D12" w:rsidTr="00784B0B">
        <w:trPr>
          <w:trHeight w:val="174"/>
        </w:trPr>
        <w:tc>
          <w:tcPr>
            <w:tcW w:w="10535" w:type="dxa"/>
            <w:gridSpan w:val="2"/>
            <w:shd w:val="clear" w:color="auto" w:fill="auto"/>
          </w:tcPr>
          <w:p w:rsidR="0048600D" w:rsidRPr="00141D12" w:rsidRDefault="0048600D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Resultado da votação: Sim </w:t>
            </w:r>
            <w:r w:rsidRPr="00141D12">
              <w:rPr>
                <w:rFonts w:ascii="Times New Roman" w:hAnsi="Times New Roman"/>
                <w:sz w:val="18"/>
              </w:rPr>
              <w:t xml:space="preserve">(18)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Não </w:t>
            </w:r>
            <w:proofErr w:type="gramStart"/>
            <w:r w:rsidRPr="00141D12">
              <w:rPr>
                <w:rFonts w:ascii="Times New Roman" w:hAnsi="Times New Roman"/>
                <w:sz w:val="18"/>
              </w:rPr>
              <w:t>( )</w:t>
            </w:r>
            <w:proofErr w:type="gramEnd"/>
            <w:r w:rsidRPr="00141D12">
              <w:rPr>
                <w:rFonts w:ascii="Times New Roman" w:hAnsi="Times New Roman"/>
                <w:sz w:val="18"/>
              </w:rPr>
              <w:t xml:space="preserve">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Abstenções </w:t>
            </w:r>
            <w:r w:rsidRPr="00141D12">
              <w:rPr>
                <w:rFonts w:ascii="Times New Roman" w:hAnsi="Times New Roman"/>
                <w:sz w:val="18"/>
              </w:rPr>
              <w:t xml:space="preserve">()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Ausências </w:t>
            </w:r>
            <w:r w:rsidRPr="00141D12">
              <w:rPr>
                <w:rFonts w:ascii="Times New Roman" w:hAnsi="Times New Roman"/>
                <w:sz w:val="18"/>
              </w:rPr>
              <w:t xml:space="preserve">()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Total </w:t>
            </w:r>
            <w:r w:rsidRPr="00141D12">
              <w:rPr>
                <w:rFonts w:ascii="Times New Roman" w:hAnsi="Times New Roman"/>
                <w:sz w:val="18"/>
              </w:rPr>
              <w:t>(18)</w:t>
            </w:r>
          </w:p>
          <w:p w:rsidR="0048600D" w:rsidRPr="00141D12" w:rsidRDefault="0048600D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48600D" w:rsidRPr="00141D12" w:rsidTr="00784B0B">
        <w:trPr>
          <w:trHeight w:val="161"/>
        </w:trPr>
        <w:tc>
          <w:tcPr>
            <w:tcW w:w="10535" w:type="dxa"/>
            <w:gridSpan w:val="2"/>
            <w:shd w:val="clear" w:color="auto" w:fill="auto"/>
          </w:tcPr>
          <w:p w:rsidR="0048600D" w:rsidRDefault="0048600D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Ocorrências: </w:t>
            </w:r>
            <w:r w:rsidRPr="00141D12">
              <w:rPr>
                <w:rFonts w:ascii="Times New Roman" w:hAnsi="Times New Roman"/>
                <w:sz w:val="18"/>
              </w:rPr>
              <w:t>sem registros.</w:t>
            </w:r>
          </w:p>
          <w:p w:rsidR="0048600D" w:rsidRDefault="0048600D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48600D" w:rsidRPr="00141D12" w:rsidRDefault="0048600D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  <w:p w:rsidR="0048600D" w:rsidRPr="00141D12" w:rsidRDefault="0048600D" w:rsidP="00784B0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48600D" w:rsidRPr="00141D12" w:rsidTr="00784B0B">
        <w:trPr>
          <w:trHeight w:val="161"/>
        </w:trPr>
        <w:tc>
          <w:tcPr>
            <w:tcW w:w="5389" w:type="dxa"/>
            <w:shd w:val="clear" w:color="auto" w:fill="auto"/>
          </w:tcPr>
          <w:p w:rsidR="0048600D" w:rsidRPr="00141D12" w:rsidRDefault="0048600D" w:rsidP="00784B0B">
            <w:pPr>
              <w:tabs>
                <w:tab w:val="left" w:pos="1418"/>
              </w:tabs>
              <w:rPr>
                <w:rFonts w:ascii="Times New Roman" w:hAnsi="Times New Roman"/>
                <w:sz w:val="18"/>
              </w:rPr>
            </w:pPr>
            <w:r w:rsidRPr="00141D12">
              <w:rPr>
                <w:rFonts w:ascii="Times New Roman" w:hAnsi="Times New Roman"/>
                <w:b/>
                <w:sz w:val="18"/>
              </w:rPr>
              <w:t xml:space="preserve">Secretária da Reunião: </w:t>
            </w:r>
            <w:r w:rsidRPr="00141D12">
              <w:rPr>
                <w:rFonts w:ascii="Times New Roman" w:hAnsi="Times New Roman"/>
                <w:sz w:val="18"/>
              </w:rPr>
              <w:t>Josiane Cristina Bernardi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5146" w:type="dxa"/>
            <w:shd w:val="clear" w:color="auto" w:fill="auto"/>
          </w:tcPr>
          <w:p w:rsidR="0048600D" w:rsidRPr="00141D12" w:rsidRDefault="0048600D" w:rsidP="00784B0B">
            <w:pPr>
              <w:ind w:left="-107"/>
              <w:jc w:val="both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</w:t>
            </w:r>
            <w:r w:rsidRPr="00141D12">
              <w:rPr>
                <w:rFonts w:ascii="Times New Roman" w:hAnsi="Times New Roman"/>
                <w:b/>
                <w:sz w:val="18"/>
              </w:rPr>
              <w:t xml:space="preserve">Presidente da Reunião: </w:t>
            </w:r>
            <w:r w:rsidRPr="00141D12">
              <w:rPr>
                <w:rFonts w:ascii="Times New Roman" w:hAnsi="Times New Roman"/>
                <w:sz w:val="18"/>
                <w:lang w:eastAsia="pt-BR"/>
              </w:rPr>
              <w:t xml:space="preserve">Tiago </w:t>
            </w:r>
            <w:proofErr w:type="spellStart"/>
            <w:r w:rsidRPr="00141D12">
              <w:rPr>
                <w:rFonts w:ascii="Times New Roman" w:hAnsi="Times New Roman"/>
                <w:sz w:val="18"/>
                <w:lang w:eastAsia="pt-BR"/>
              </w:rPr>
              <w:t>Holzmann</w:t>
            </w:r>
            <w:proofErr w:type="spellEnd"/>
            <w:r w:rsidRPr="00141D12">
              <w:rPr>
                <w:rFonts w:ascii="Times New Roman" w:hAnsi="Times New Roman"/>
                <w:sz w:val="18"/>
                <w:lang w:eastAsia="pt-BR"/>
              </w:rPr>
              <w:t xml:space="preserve"> da Silva    </w:t>
            </w:r>
          </w:p>
        </w:tc>
      </w:tr>
    </w:tbl>
    <w:p w:rsidR="0048600D" w:rsidRDefault="0048600D" w:rsidP="0048600D">
      <w:pPr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  <w:sectPr w:rsidR="0048600D" w:rsidSect="005D6D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709" w:left="1701" w:header="1418" w:footer="57" w:gutter="0"/>
          <w:cols w:space="708"/>
          <w:titlePg/>
          <w:docGrid w:linePitch="326"/>
        </w:sectPr>
      </w:pPr>
    </w:p>
    <w:p w:rsidR="00BF1FEF" w:rsidRDefault="00587629" w:rsidP="005D6DF2">
      <w:pPr>
        <w:ind w:right="842"/>
        <w:jc w:val="both"/>
        <w:rPr>
          <w:rFonts w:ascii="Times New Roman" w:hAnsi="Times New Roman"/>
          <w:sz w:val="22"/>
          <w:szCs w:val="22"/>
        </w:rPr>
      </w:pPr>
      <w:r w:rsidRPr="00587629">
        <w:rPr>
          <w:noProof/>
          <w:lang w:eastAsia="pt-BR"/>
        </w:rPr>
        <w:drawing>
          <wp:inline distT="0" distB="0" distL="0" distR="0">
            <wp:extent cx="9163050" cy="5606081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560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629" w:rsidRDefault="00587629" w:rsidP="005D6DF2">
      <w:pPr>
        <w:ind w:right="842"/>
        <w:jc w:val="both"/>
        <w:rPr>
          <w:color w:val="1C4B58"/>
        </w:rPr>
      </w:pPr>
      <w:r w:rsidRPr="00587629">
        <w:rPr>
          <w:color w:val="1C4B58"/>
        </w:rPr>
        <w:t>Anexo DPO-RS nº 1165/2020 – Planilha Contingência Financeira 2020</w:t>
      </w:r>
      <w:r>
        <w:rPr>
          <w:color w:val="1C4B58"/>
        </w:rPr>
        <w:t xml:space="preserve"> – Folha 2</w:t>
      </w:r>
    </w:p>
    <w:p w:rsidR="00587629" w:rsidRDefault="00587629" w:rsidP="005D6DF2">
      <w:pPr>
        <w:ind w:right="842"/>
        <w:jc w:val="both"/>
        <w:rPr>
          <w:color w:val="1C4B58"/>
        </w:rPr>
      </w:pPr>
    </w:p>
    <w:p w:rsidR="00587629" w:rsidRPr="005D6DF2" w:rsidRDefault="00587629" w:rsidP="005D6DF2">
      <w:pPr>
        <w:ind w:right="842"/>
        <w:jc w:val="both"/>
        <w:rPr>
          <w:rFonts w:ascii="Times New Roman" w:hAnsi="Times New Roman"/>
          <w:sz w:val="22"/>
          <w:szCs w:val="22"/>
        </w:rPr>
      </w:pPr>
      <w:r w:rsidRPr="00587629">
        <w:rPr>
          <w:noProof/>
          <w:lang w:eastAsia="pt-BR"/>
        </w:rPr>
        <w:drawing>
          <wp:inline distT="0" distB="0" distL="0" distR="0">
            <wp:extent cx="9163050" cy="202453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20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629" w:rsidRPr="005D6DF2" w:rsidSect="0058762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0" w:orient="landscape"/>
      <w:pgMar w:top="851" w:right="709" w:bottom="1701" w:left="1701" w:header="1418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00D" w:rsidRPr="005950FA" w:rsidRDefault="0048600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8600D" w:rsidRPr="005F2A2D" w:rsidRDefault="0048600D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00D" w:rsidRPr="0093154B" w:rsidRDefault="0048600D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8600D" w:rsidRDefault="0048600D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8600D" w:rsidRPr="003F1946" w:rsidRDefault="0048600D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030100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8600D" w:rsidRPr="003F1946" w:rsidRDefault="0048600D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00D" w:rsidRPr="0093154B" w:rsidRDefault="0048600D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</w:t>
    </w: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_______________________________</w:t>
    </w:r>
  </w:p>
  <w:p w:rsidR="0048600D" w:rsidRPr="003F1946" w:rsidRDefault="0048600D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5953423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8600D" w:rsidRPr="003F1946" w:rsidRDefault="0048600D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6526568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8600D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587629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90379676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8600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587629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00D" w:rsidRPr="009E4E5A" w:rsidRDefault="0048600D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8480" behindDoc="1" locked="0" layoutInCell="1" allowOverlap="1" wp14:anchorId="5C71355A" wp14:editId="7E189B9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7456" behindDoc="1" locked="0" layoutInCell="1" allowOverlap="1" wp14:anchorId="11158477" wp14:editId="01877AE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00D" w:rsidRPr="009E4E5A" w:rsidRDefault="0048600D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9504" behindDoc="1" locked="0" layoutInCell="1" allowOverlap="1" wp14:anchorId="45830088" wp14:editId="4DB82A9D">
          <wp:simplePos x="0" y="0"/>
          <wp:positionH relativeFrom="page">
            <wp:align>left</wp:align>
          </wp:positionH>
          <wp:positionV relativeFrom="paragraph">
            <wp:posOffset>-886891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00D" w:rsidRDefault="0048600D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0528" behindDoc="1" locked="0" layoutInCell="1" allowOverlap="1" wp14:anchorId="2D4799BC" wp14:editId="2EE18CD3">
          <wp:simplePos x="0" y="0"/>
          <wp:positionH relativeFrom="page">
            <wp:posOffset>34506</wp:posOffset>
          </wp:positionH>
          <wp:positionV relativeFrom="paragraph">
            <wp:posOffset>-891803</wp:posOffset>
          </wp:positionV>
          <wp:extent cx="7556739" cy="969544"/>
          <wp:effectExtent l="0" t="0" r="0" b="2540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3375" cy="97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629" w:rsidRDefault="00587629" w:rsidP="00587629">
    <w:pPr>
      <w:pStyle w:val="Cabealho"/>
      <w:jc w:val="center"/>
    </w:pPr>
    <w:r w:rsidRPr="00587629">
      <w:rPr>
        <w:rFonts w:ascii="Arial" w:hAnsi="Arial"/>
        <w:noProof/>
        <w:color w:val="1C4B58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4A383FDF" wp14:editId="6AF720F4">
          <wp:simplePos x="0" y="0"/>
          <wp:positionH relativeFrom="page">
            <wp:posOffset>20544</wp:posOffset>
          </wp:positionH>
          <wp:positionV relativeFrom="paragraph">
            <wp:posOffset>-900692</wp:posOffset>
          </wp:positionV>
          <wp:extent cx="7560000" cy="969962"/>
          <wp:effectExtent l="0" t="0" r="3175" b="1905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629" w:rsidRDefault="00587629" w:rsidP="00587629">
    <w:pPr>
      <w:pStyle w:val="Cabealho"/>
      <w:jc w:val="right"/>
    </w:pPr>
    <w:r w:rsidRPr="00587629">
      <w:rPr>
        <w:rFonts w:ascii="Arial" w:hAnsi="Arial"/>
        <w:noProof/>
        <w:color w:val="1C4B58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D43D90A" wp14:editId="7EEA0B41">
          <wp:simplePos x="0" y="0"/>
          <wp:positionH relativeFrom="page">
            <wp:posOffset>20544</wp:posOffset>
          </wp:positionH>
          <wp:positionV relativeFrom="paragraph">
            <wp:posOffset>-900692</wp:posOffset>
          </wp:positionV>
          <wp:extent cx="7560000" cy="969962"/>
          <wp:effectExtent l="0" t="0" r="3175" b="1905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4BA" w:rsidRDefault="005E54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F2B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17E5"/>
    <w:rsid w:val="0019498C"/>
    <w:rsid w:val="001A1D85"/>
    <w:rsid w:val="001B5148"/>
    <w:rsid w:val="001B5F62"/>
    <w:rsid w:val="001B6FB9"/>
    <w:rsid w:val="001D0CA0"/>
    <w:rsid w:val="001D6B16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8600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4F748D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7629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5FB9"/>
    <w:rsid w:val="00835E1C"/>
    <w:rsid w:val="00840D65"/>
    <w:rsid w:val="0084136B"/>
    <w:rsid w:val="008451B4"/>
    <w:rsid w:val="00845205"/>
    <w:rsid w:val="00847568"/>
    <w:rsid w:val="00854C77"/>
    <w:rsid w:val="00855321"/>
    <w:rsid w:val="00855F16"/>
    <w:rsid w:val="008663BB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30FE"/>
    <w:rsid w:val="008F0F5B"/>
    <w:rsid w:val="008F159C"/>
    <w:rsid w:val="009073DD"/>
    <w:rsid w:val="00917E5F"/>
    <w:rsid w:val="009269BD"/>
    <w:rsid w:val="00930D3C"/>
    <w:rsid w:val="0093154B"/>
    <w:rsid w:val="009316C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4631"/>
    <w:rsid w:val="009B5DB8"/>
    <w:rsid w:val="009C55B9"/>
    <w:rsid w:val="009C581F"/>
    <w:rsid w:val="009D0886"/>
    <w:rsid w:val="009E3C4D"/>
    <w:rsid w:val="009E4022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80C65"/>
    <w:rsid w:val="00A83107"/>
    <w:rsid w:val="00A86EB9"/>
    <w:rsid w:val="00AB562D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9437B"/>
    <w:rsid w:val="00BA026F"/>
    <w:rsid w:val="00BB5E13"/>
    <w:rsid w:val="00BB7EDB"/>
    <w:rsid w:val="00BC73B6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08B5"/>
    <w:rsid w:val="00D213CD"/>
    <w:rsid w:val="00D24E51"/>
    <w:rsid w:val="00D25B5F"/>
    <w:rsid w:val="00D32E81"/>
    <w:rsid w:val="00D357E7"/>
    <w:rsid w:val="00D43467"/>
    <w:rsid w:val="00D56A62"/>
    <w:rsid w:val="00D62C61"/>
    <w:rsid w:val="00D646D8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12EC2"/>
    <w:rsid w:val="00E160A1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191"/>
    <w:rsid w:val="00EC75F6"/>
    <w:rsid w:val="00ED2108"/>
    <w:rsid w:val="00ED6C95"/>
    <w:rsid w:val="00EE6DD1"/>
    <w:rsid w:val="00F00BA3"/>
    <w:rsid w:val="00F01A17"/>
    <w:rsid w:val="00F106E3"/>
    <w:rsid w:val="00F11D97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5EEA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0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6Colorida">
    <w:name w:val="Grid Table 6 Colorful"/>
    <w:basedOn w:val="Tabelanormal"/>
    <w:uiPriority w:val="51"/>
    <w:rsid w:val="004860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800C-8416-4F77-86F4-CE000123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9</cp:revision>
  <cp:lastPrinted>2019-10-25T17:16:00Z</cp:lastPrinted>
  <dcterms:created xsi:type="dcterms:W3CDTF">2020-05-28T17:58:00Z</dcterms:created>
  <dcterms:modified xsi:type="dcterms:W3CDTF">2020-06-01T16:29:00Z</dcterms:modified>
</cp:coreProperties>
</file>