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C12C4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822441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FD4628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5255C7" w:rsidP="005255C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255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encaminhamento ao CAU/BR, de solicitação de regramento para Abertura de Crédito Adicional com Recursos de Superávit Financeiro para o exercício 2020.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822441">
        <w:rPr>
          <w:rFonts w:ascii="Times New Roman" w:hAnsi="Times New Roman"/>
          <w:sz w:val="22"/>
          <w:szCs w:val="22"/>
          <w:lang w:eastAsia="pt-BR"/>
        </w:rPr>
        <w:t>70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822441" w:rsidRDefault="005255C7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5255C7">
        <w:rPr>
          <w:rFonts w:ascii="Times New Roman" w:hAnsi="Times New Roman"/>
          <w:bCs/>
          <w:sz w:val="20"/>
          <w:szCs w:val="22"/>
          <w:lang w:eastAsia="pt-BR"/>
        </w:rPr>
        <w:t xml:space="preserve">Homologa encaminhamento ao CAU/BR, de solicitação de regramento </w:t>
      </w:r>
      <w:r>
        <w:rPr>
          <w:rFonts w:ascii="Times New Roman" w:hAnsi="Times New Roman"/>
          <w:bCs/>
          <w:sz w:val="20"/>
          <w:szCs w:val="22"/>
          <w:lang w:eastAsia="pt-BR"/>
        </w:rPr>
        <w:t>para</w:t>
      </w:r>
      <w:r w:rsidRPr="005255C7">
        <w:rPr>
          <w:rFonts w:ascii="Times New Roman" w:hAnsi="Times New Roman"/>
          <w:bCs/>
          <w:sz w:val="20"/>
          <w:szCs w:val="22"/>
          <w:lang w:eastAsia="pt-BR"/>
        </w:rPr>
        <w:t xml:space="preserve"> Abertura de Crédito Adicional com Recursos de Superávit Financeiro para o exercício 2020.</w:t>
      </w:r>
    </w:p>
    <w:p w:rsidR="005255C7" w:rsidRDefault="005255C7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5255C7" w:rsidRDefault="005255C7" w:rsidP="00D34C38">
      <w:pPr>
        <w:ind w:left="4956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os dados semanais de arrecadação </w:t>
      </w: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CAU/RS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nos meses de março, abril e maio de 2020, que demonstram redução aproximada de 70% em relação ao </w:t>
      </w: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previsto no orçamento 2020,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o que representa </w:t>
      </w: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queda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brusca na receita </w:t>
      </w: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em decorrência das medidas para enfrentamento da emergência de saúde pública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;</w:t>
      </w: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Considerando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que a referida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redução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de receita tem provocado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impactos significativos no fluxo de caixa do CAU/RS, os quais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estão sendo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acuradamente mensurados e previstos,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diante do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ineditismo e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da magnitude da atual situação, bem como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nas atividades profissionais dos Arquitetos e Urbanistas e no comportamento econômico </w:t>
      </w:r>
      <w:r w:rsidR="00D2510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do estado,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pós-crise;</w:t>
      </w:r>
    </w:p>
    <w:p w:rsidR="00D2510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2510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Deliberação Plenária DPO/RS nº 1165/2020 que homologa a planilha de contingência financeira do CAU/RS para 2020;</w:t>
      </w: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</w:t>
      </w:r>
      <w:r>
        <w:rPr>
          <w:rFonts w:ascii="Times New Roman" w:eastAsia="Times New Roman" w:hAnsi="Times New Roman"/>
          <w:sz w:val="22"/>
          <w:szCs w:val="22"/>
        </w:rPr>
        <w:t>ando a Deliberação Plenária</w:t>
      </w:r>
      <w:r w:rsidRPr="00714E27">
        <w:rPr>
          <w:rFonts w:ascii="Times New Roman" w:eastAsia="Times New Roman" w:hAnsi="Times New Roman"/>
          <w:sz w:val="22"/>
          <w:szCs w:val="22"/>
        </w:rPr>
        <w:t> DPOBR n° 0084-03/2018, de 22 de novembro de</w:t>
      </w:r>
      <w:r w:rsidRPr="00714E2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2018, publicada no sítio eletrônico do CAU/BR no dia 26 de dezembro de 2019, </w:t>
      </w:r>
      <w:r w:rsidR="00D25107">
        <w:rPr>
          <w:rFonts w:ascii="Times New Roman" w:eastAsia="Times New Roman" w:hAnsi="Times New Roman"/>
          <w:sz w:val="22"/>
          <w:szCs w:val="22"/>
        </w:rPr>
        <w:t xml:space="preserve">que 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autoriza a utilização de </w:t>
      </w:r>
      <w:r w:rsidRPr="00D25107">
        <w:rPr>
          <w:rFonts w:ascii="Times New Roman" w:eastAsia="Times New Roman" w:hAnsi="Times New Roman"/>
          <w:i/>
          <w:sz w:val="22"/>
          <w:szCs w:val="22"/>
        </w:rPr>
        <w:t>superávit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 financeiro, com duração não superior a um exercício, quando se tratar de utilização de caráter não continuado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os art. 40 e 41 da Lei 4.320/1964 que dispõe sobre a abertura de créditos adicionais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 xml:space="preserve">Considerando a </w:t>
      </w:r>
      <w:r w:rsidR="00D25107">
        <w:rPr>
          <w:rFonts w:ascii="Times New Roman" w:eastAsia="Times New Roman" w:hAnsi="Times New Roman"/>
          <w:sz w:val="22"/>
          <w:szCs w:val="22"/>
        </w:rPr>
        <w:t xml:space="preserve">evidente 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necessidade de abertura de crédito adicional com uso do </w:t>
      </w:r>
      <w:r w:rsidRPr="00D25107">
        <w:rPr>
          <w:rFonts w:ascii="Times New Roman" w:eastAsia="Times New Roman" w:hAnsi="Times New Roman"/>
          <w:i/>
          <w:sz w:val="22"/>
          <w:szCs w:val="22"/>
        </w:rPr>
        <w:t>superávit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 financeiro, destinado ao reforço de dotação orçamentária que se tornou insuficiente</w:t>
      </w:r>
      <w:r w:rsidR="00D25107">
        <w:rPr>
          <w:rFonts w:ascii="Times New Roman" w:eastAsia="Times New Roman" w:hAnsi="Times New Roman"/>
          <w:sz w:val="22"/>
          <w:szCs w:val="22"/>
        </w:rPr>
        <w:t>;</w:t>
      </w: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necessidade de cobrir despesas de pessoal, contratos ordinários e outras despesas correntes indispensáveis à manutenção do CAU/RS no exercício de 2020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151155" w:rsidRDefault="00151155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151155" w:rsidRDefault="00151155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151155">
        <w:rPr>
          <w:rFonts w:ascii="Times New Roman" w:eastAsia="Times New Roman" w:hAnsi="Times New Roman"/>
          <w:sz w:val="22"/>
          <w:szCs w:val="22"/>
        </w:rPr>
        <w:t xml:space="preserve">Considerando o Parecer Jurídico nº 028/2020 realizado em 16 de abril de 2020 pela Assessoria Jurídica do CAU/RS, </w:t>
      </w:r>
      <w:r w:rsidR="005255C7">
        <w:rPr>
          <w:rFonts w:ascii="Times New Roman" w:eastAsia="Times New Roman" w:hAnsi="Times New Roman"/>
          <w:sz w:val="22"/>
          <w:szCs w:val="22"/>
        </w:rPr>
        <w:t>opinando</w:t>
      </w:r>
      <w:r w:rsidRPr="00151155">
        <w:rPr>
          <w:rFonts w:ascii="Times New Roman" w:eastAsia="Times New Roman" w:hAnsi="Times New Roman"/>
          <w:sz w:val="22"/>
          <w:szCs w:val="22"/>
        </w:rPr>
        <w:t xml:space="preserve"> pela possibilidade da reprogramação do plano de ação e orçamento mediante a abertura de crédito adicional na modalidade “suplementar”, com utilização do superávit financeiro, devendo ocorrer a alteração das normativas do CAU/BR a fim de que se passe a permitir, ao menos para o exercício financeiro do ano de 2020 ou enquanto perdurarem os efeitos da pandemia, a utilização do superávit para o suprimento das despesas correntes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D2510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25107" w:rsidRPr="00714E27" w:rsidRDefault="00D25107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 Deliberação nº 029/2020 –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CPFi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-CAU/RS que propõe o encaminhamento </w:t>
      </w:r>
      <w:r w:rsidR="00151155">
        <w:rPr>
          <w:rFonts w:ascii="Times New Roman" w:eastAsia="Times New Roman" w:hAnsi="Times New Roman"/>
          <w:sz w:val="22"/>
          <w:szCs w:val="22"/>
        </w:rPr>
        <w:t xml:space="preserve">ao CAU/BR, </w:t>
      </w:r>
      <w:r>
        <w:rPr>
          <w:rFonts w:ascii="Times New Roman" w:eastAsia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bCs/>
          <w:sz w:val="22"/>
          <w:szCs w:val="22"/>
          <w:lang w:eastAsia="pt-BR"/>
        </w:rPr>
        <w:t>Minuta de anteprojeto de Resolução, normatizando a Abertura de Crédito Adicional com Recursos de Superávit Financeiro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0C1CFB" w:rsidRPr="001D0CA0" w:rsidRDefault="000C1CFB" w:rsidP="006623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255C7" w:rsidRDefault="005255C7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25107" w:rsidRDefault="00151155" w:rsidP="00D2510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</w:t>
      </w:r>
      <w:r w:rsidR="00D25107">
        <w:rPr>
          <w:rFonts w:ascii="Times New Roman" w:hAnsi="Times New Roman"/>
          <w:sz w:val="22"/>
          <w:szCs w:val="22"/>
        </w:rPr>
        <w:t>o CAU/BR</w:t>
      </w:r>
      <w:r>
        <w:rPr>
          <w:rFonts w:ascii="Times New Roman" w:hAnsi="Times New Roman"/>
          <w:sz w:val="22"/>
          <w:szCs w:val="22"/>
        </w:rPr>
        <w:t xml:space="preserve">, que </w:t>
      </w:r>
      <w:r w:rsidR="00D25107">
        <w:rPr>
          <w:rFonts w:ascii="Times New Roman" w:hAnsi="Times New Roman"/>
          <w:sz w:val="22"/>
          <w:szCs w:val="22"/>
        </w:rPr>
        <w:t>estabeleça norma</w:t>
      </w:r>
      <w:r>
        <w:rPr>
          <w:rFonts w:ascii="Times New Roman" w:hAnsi="Times New Roman"/>
          <w:sz w:val="22"/>
          <w:szCs w:val="22"/>
        </w:rPr>
        <w:t>tiva</w:t>
      </w:r>
      <w:r w:rsidR="00D25107">
        <w:rPr>
          <w:rFonts w:ascii="Times New Roman" w:hAnsi="Times New Roman"/>
          <w:sz w:val="22"/>
          <w:szCs w:val="22"/>
        </w:rPr>
        <w:t xml:space="preserve"> para </w:t>
      </w:r>
      <w:r>
        <w:rPr>
          <w:rFonts w:ascii="Times New Roman" w:hAnsi="Times New Roman"/>
          <w:sz w:val="22"/>
          <w:szCs w:val="22"/>
        </w:rPr>
        <w:t xml:space="preserve">possibilitar a utilização de recursos </w:t>
      </w:r>
      <w:r w:rsidR="00D25107">
        <w:rPr>
          <w:rFonts w:ascii="Times New Roman" w:hAnsi="Times New Roman"/>
          <w:sz w:val="22"/>
          <w:szCs w:val="22"/>
        </w:rPr>
        <w:t xml:space="preserve">do </w:t>
      </w:r>
      <w:r w:rsidR="00D25107" w:rsidRPr="00151155">
        <w:rPr>
          <w:rFonts w:ascii="Times New Roman" w:hAnsi="Times New Roman"/>
          <w:i/>
          <w:sz w:val="22"/>
          <w:szCs w:val="22"/>
        </w:rPr>
        <w:t>superávit</w:t>
      </w:r>
      <w:r w:rsidR="00D25107">
        <w:rPr>
          <w:rFonts w:ascii="Times New Roman" w:hAnsi="Times New Roman"/>
          <w:sz w:val="22"/>
          <w:szCs w:val="22"/>
        </w:rPr>
        <w:t xml:space="preserve"> financeiro</w:t>
      </w:r>
      <w:r w:rsidR="00D25107" w:rsidRPr="00714E27">
        <w:rPr>
          <w:rFonts w:ascii="Times New Roman" w:hAnsi="Times New Roman"/>
          <w:sz w:val="22"/>
          <w:szCs w:val="22"/>
        </w:rPr>
        <w:t xml:space="preserve">, </w:t>
      </w:r>
      <w:r w:rsidR="005255C7">
        <w:rPr>
          <w:rFonts w:ascii="Times New Roman" w:hAnsi="Times New Roman"/>
          <w:sz w:val="22"/>
          <w:szCs w:val="22"/>
        </w:rPr>
        <w:t>permitindo</w:t>
      </w:r>
      <w:r>
        <w:rPr>
          <w:rFonts w:ascii="Times New Roman" w:hAnsi="Times New Roman"/>
          <w:sz w:val="22"/>
          <w:szCs w:val="22"/>
        </w:rPr>
        <w:t xml:space="preserve"> que </w:t>
      </w:r>
      <w:r w:rsidR="00D25107">
        <w:rPr>
          <w:rFonts w:ascii="Times New Roman" w:hAnsi="Times New Roman"/>
          <w:sz w:val="22"/>
          <w:szCs w:val="22"/>
        </w:rPr>
        <w:t>cada CAU</w:t>
      </w:r>
      <w:r>
        <w:rPr>
          <w:rFonts w:ascii="Times New Roman" w:hAnsi="Times New Roman"/>
          <w:sz w:val="22"/>
          <w:szCs w:val="22"/>
        </w:rPr>
        <w:t>/UF,</w:t>
      </w:r>
      <w:r w:rsidR="00D25107">
        <w:rPr>
          <w:rFonts w:ascii="Times New Roman" w:hAnsi="Times New Roman"/>
          <w:sz w:val="22"/>
          <w:szCs w:val="22"/>
        </w:rPr>
        <w:t xml:space="preserve"> de acordo com suas necessidades</w:t>
      </w:r>
      <w:r>
        <w:rPr>
          <w:rFonts w:ascii="Times New Roman" w:hAnsi="Times New Roman"/>
          <w:sz w:val="22"/>
          <w:szCs w:val="22"/>
        </w:rPr>
        <w:t>,</w:t>
      </w:r>
      <w:r w:rsidR="00D251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proceda </w:t>
      </w:r>
      <w:r w:rsidR="00D25107">
        <w:rPr>
          <w:rFonts w:ascii="Times New Roman" w:hAnsi="Times New Roman"/>
          <w:sz w:val="22"/>
          <w:szCs w:val="22"/>
        </w:rPr>
        <w:t>à abertura de crédito</w:t>
      </w:r>
      <w:r>
        <w:rPr>
          <w:rFonts w:ascii="Times New Roman" w:hAnsi="Times New Roman"/>
          <w:sz w:val="22"/>
          <w:szCs w:val="22"/>
        </w:rPr>
        <w:t>s</w:t>
      </w:r>
      <w:r w:rsidR="00D25107">
        <w:rPr>
          <w:rFonts w:ascii="Times New Roman" w:hAnsi="Times New Roman"/>
          <w:sz w:val="22"/>
          <w:szCs w:val="22"/>
        </w:rPr>
        <w:t xml:space="preserve"> adiciona</w:t>
      </w:r>
      <w:r>
        <w:rPr>
          <w:rFonts w:ascii="Times New Roman" w:hAnsi="Times New Roman"/>
          <w:sz w:val="22"/>
          <w:szCs w:val="22"/>
        </w:rPr>
        <w:t>is,</w:t>
      </w:r>
      <w:r w:rsidR="00D25107" w:rsidRPr="00714E27">
        <w:rPr>
          <w:rFonts w:ascii="Times New Roman" w:hAnsi="Times New Roman"/>
          <w:sz w:val="22"/>
          <w:szCs w:val="22"/>
        </w:rPr>
        <w:t xml:space="preserve"> destinado</w:t>
      </w:r>
      <w:r>
        <w:rPr>
          <w:rFonts w:ascii="Times New Roman" w:hAnsi="Times New Roman"/>
          <w:sz w:val="22"/>
          <w:szCs w:val="22"/>
        </w:rPr>
        <w:t>s</w:t>
      </w:r>
      <w:r w:rsidR="00D25107" w:rsidRPr="00714E27">
        <w:rPr>
          <w:rFonts w:ascii="Times New Roman" w:hAnsi="Times New Roman"/>
          <w:sz w:val="22"/>
          <w:szCs w:val="22"/>
        </w:rPr>
        <w:t xml:space="preserve"> ao reforço de dotação orçamentária p</w:t>
      </w:r>
      <w:r w:rsidR="00D25107">
        <w:rPr>
          <w:rFonts w:ascii="Times New Roman" w:hAnsi="Times New Roman"/>
          <w:sz w:val="22"/>
          <w:szCs w:val="22"/>
        </w:rPr>
        <w:t xml:space="preserve">ara cobrir despesas de pessoal e </w:t>
      </w:r>
      <w:r w:rsidR="00D25107" w:rsidRPr="00714E27">
        <w:rPr>
          <w:rFonts w:ascii="Times New Roman" w:hAnsi="Times New Roman"/>
          <w:sz w:val="22"/>
          <w:szCs w:val="22"/>
        </w:rPr>
        <w:t>contratos ordinários indispensáveis à manutenção dos CAU/</w:t>
      </w:r>
      <w:proofErr w:type="spellStart"/>
      <w:r w:rsidR="00D25107" w:rsidRPr="00714E27">
        <w:rPr>
          <w:rFonts w:ascii="Times New Roman" w:hAnsi="Times New Roman"/>
          <w:sz w:val="22"/>
          <w:szCs w:val="22"/>
        </w:rPr>
        <w:t>UFs</w:t>
      </w:r>
      <w:proofErr w:type="spellEnd"/>
      <w:r w:rsidR="00D25107" w:rsidRPr="00714E27">
        <w:rPr>
          <w:rFonts w:ascii="Times New Roman" w:hAnsi="Times New Roman"/>
          <w:sz w:val="22"/>
          <w:szCs w:val="22"/>
        </w:rPr>
        <w:t xml:space="preserve"> no exercício de 2</w:t>
      </w:r>
      <w:r w:rsidR="00D25107">
        <w:rPr>
          <w:rFonts w:ascii="Times New Roman" w:hAnsi="Times New Roman"/>
          <w:sz w:val="22"/>
          <w:szCs w:val="22"/>
        </w:rPr>
        <w:t>020</w:t>
      </w:r>
      <w:r>
        <w:rPr>
          <w:rFonts w:ascii="Times New Roman" w:hAnsi="Times New Roman"/>
          <w:sz w:val="22"/>
          <w:szCs w:val="22"/>
        </w:rPr>
        <w:t>;</w:t>
      </w:r>
    </w:p>
    <w:p w:rsidR="00D25107" w:rsidRPr="00E3161D" w:rsidRDefault="00D25107" w:rsidP="00D2510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3161D">
        <w:rPr>
          <w:rFonts w:ascii="Times New Roman" w:hAnsi="Times New Roman"/>
          <w:sz w:val="22"/>
          <w:szCs w:val="22"/>
        </w:rPr>
        <w:t>Estabelecer que</w:t>
      </w:r>
      <w:r w:rsidR="00F42939">
        <w:rPr>
          <w:rFonts w:ascii="Times New Roman" w:hAnsi="Times New Roman"/>
          <w:sz w:val="22"/>
          <w:szCs w:val="22"/>
        </w:rPr>
        <w:t xml:space="preserve">, se </w:t>
      </w:r>
      <w:r w:rsidRPr="00E3161D">
        <w:rPr>
          <w:rFonts w:ascii="Times New Roman" w:hAnsi="Times New Roman"/>
          <w:sz w:val="22"/>
          <w:szCs w:val="22"/>
        </w:rPr>
        <w:t xml:space="preserve">a matéria </w:t>
      </w:r>
      <w:r w:rsidR="00F42939">
        <w:rPr>
          <w:rFonts w:ascii="Times New Roman" w:hAnsi="Times New Roman"/>
          <w:sz w:val="22"/>
          <w:szCs w:val="22"/>
        </w:rPr>
        <w:t xml:space="preserve">não for regulamentada pelo CAU/BR </w:t>
      </w:r>
      <w:r w:rsidRPr="00E3161D">
        <w:rPr>
          <w:rFonts w:ascii="Times New Roman" w:hAnsi="Times New Roman"/>
          <w:sz w:val="22"/>
          <w:szCs w:val="22"/>
        </w:rPr>
        <w:t>no prazo de 30 (trinta) dias, o CAU/RS aplicará</w:t>
      </w:r>
      <w:r w:rsidR="00151155">
        <w:rPr>
          <w:rFonts w:ascii="Times New Roman" w:hAnsi="Times New Roman"/>
          <w:sz w:val="22"/>
          <w:szCs w:val="22"/>
        </w:rPr>
        <w:t xml:space="preserve"> as medidas referidas na presente deliberação</w:t>
      </w:r>
      <w:r w:rsidRPr="00E3161D">
        <w:rPr>
          <w:rFonts w:ascii="Times New Roman" w:hAnsi="Times New Roman"/>
          <w:sz w:val="22"/>
          <w:szCs w:val="22"/>
        </w:rPr>
        <w:t xml:space="preserve">, face a sua autonomia administrativo e financeira, sob a censura e aprovação de </w:t>
      </w:r>
      <w:r w:rsidR="00151155">
        <w:rPr>
          <w:rFonts w:ascii="Times New Roman" w:hAnsi="Times New Roman"/>
          <w:sz w:val="22"/>
          <w:szCs w:val="22"/>
        </w:rPr>
        <w:t>seu plenário;</w:t>
      </w:r>
      <w:r w:rsidRPr="00E3161D">
        <w:rPr>
          <w:rFonts w:ascii="Times New Roman" w:hAnsi="Times New Roman"/>
          <w:sz w:val="22"/>
          <w:szCs w:val="22"/>
        </w:rPr>
        <w:t> </w:t>
      </w:r>
    </w:p>
    <w:p w:rsidR="00D25107" w:rsidRPr="00714E27" w:rsidRDefault="00151155" w:rsidP="00D2510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Determinar o </w:t>
      </w:r>
      <w:r w:rsidR="00D25107" w:rsidRPr="00714E27">
        <w:rPr>
          <w:rFonts w:ascii="Times New Roman" w:hAnsi="Times New Roman"/>
          <w:sz w:val="22"/>
          <w:szCs w:val="22"/>
        </w:rPr>
        <w:t xml:space="preserve">encaminhamento desta 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>deliberação à Presidência do CAU/</w:t>
      </w:r>
      <w:r>
        <w:rPr>
          <w:rFonts w:ascii="Times New Roman" w:hAnsi="Times New Roman"/>
          <w:sz w:val="22"/>
          <w:szCs w:val="22"/>
          <w:lang w:eastAsia="pt-BR"/>
        </w:rPr>
        <w:t>BR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 xml:space="preserve"> para conhecimento e apreciação d</w:t>
      </w: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-CAU/BR</w:t>
      </w:r>
      <w:r w:rsidR="00D25107" w:rsidRPr="00714E27">
        <w:rPr>
          <w:rFonts w:ascii="Times New Roman" w:hAnsi="Times New Roman"/>
          <w:sz w:val="22"/>
          <w:szCs w:val="22"/>
          <w:lang w:eastAsia="pt-BR"/>
        </w:rPr>
        <w:t>.</w:t>
      </w:r>
    </w:p>
    <w:p w:rsidR="00A427EF" w:rsidRPr="00C12C4A" w:rsidRDefault="00A427EF" w:rsidP="00151155">
      <w:pPr>
        <w:pStyle w:val="PargrafodaLista"/>
        <w:tabs>
          <w:tab w:val="left" w:pos="1418"/>
        </w:tabs>
        <w:spacing w:line="276" w:lineRule="auto"/>
        <w:ind w:left="1789"/>
        <w:jc w:val="both"/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jc w:val="both"/>
        <w:rPr>
          <w:rFonts w:ascii="Times New Roman" w:hAnsi="Times New Roman"/>
        </w:rPr>
      </w:pPr>
      <w:r w:rsidRPr="0031489F">
        <w:rPr>
          <w:rFonts w:ascii="Times New Roman" w:hAnsi="Times New Roman"/>
          <w:sz w:val="22"/>
          <w:szCs w:val="22"/>
          <w:lang w:eastAsia="pt-BR"/>
        </w:rPr>
        <w:t>Com 1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Pr="0031489F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dezessete</w:t>
      </w:r>
      <w:r w:rsidRPr="0031489F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31489F">
        <w:rPr>
          <w:rFonts w:ascii="Times New Roman" w:hAnsi="Times New Roman"/>
          <w:sz w:val="22"/>
          <w:szCs w:val="22"/>
        </w:rPr>
        <w:t>Alvino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489F">
        <w:rPr>
          <w:rFonts w:ascii="Times New Roman" w:hAnsi="Times New Roman"/>
          <w:sz w:val="22"/>
          <w:szCs w:val="22"/>
        </w:rPr>
        <w:t>Jara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31489F">
        <w:rPr>
          <w:rFonts w:ascii="Times New Roman" w:hAnsi="Times New Roman"/>
          <w:sz w:val="22"/>
          <w:szCs w:val="22"/>
        </w:rPr>
        <w:t>Pitzer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31489F">
        <w:rPr>
          <w:rFonts w:ascii="Times New Roman" w:hAnsi="Times New Roman"/>
          <w:sz w:val="22"/>
          <w:szCs w:val="22"/>
        </w:rPr>
        <w:t>Stocker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31489F">
        <w:rPr>
          <w:rFonts w:ascii="Times New Roman" w:hAnsi="Times New Roman"/>
          <w:sz w:val="22"/>
          <w:szCs w:val="22"/>
        </w:rPr>
        <w:t>Revello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1489F">
        <w:rPr>
          <w:rFonts w:ascii="Times New Roman" w:hAnsi="Times New Roman"/>
          <w:sz w:val="22"/>
          <w:szCs w:val="22"/>
        </w:rPr>
        <w:t>Vazquez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1489F">
        <w:rPr>
          <w:rFonts w:ascii="Times New Roman" w:hAnsi="Times New Roman"/>
          <w:sz w:val="22"/>
          <w:szCs w:val="22"/>
        </w:rPr>
        <w:t>Oritz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31489F">
        <w:rPr>
          <w:rFonts w:ascii="Times New Roman" w:hAnsi="Times New Roman"/>
          <w:sz w:val="22"/>
          <w:szCs w:val="22"/>
        </w:rPr>
        <w:t>Bregatto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Priscila </w:t>
      </w:r>
      <w:proofErr w:type="spellStart"/>
      <w:r w:rsidRPr="0031489F">
        <w:rPr>
          <w:rFonts w:ascii="Times New Roman" w:hAnsi="Times New Roman"/>
          <w:sz w:val="22"/>
          <w:szCs w:val="22"/>
        </w:rPr>
        <w:t>Quesada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31489F">
        <w:rPr>
          <w:rFonts w:ascii="Times New Roman" w:hAnsi="Times New Roman"/>
          <w:sz w:val="22"/>
          <w:szCs w:val="22"/>
        </w:rPr>
        <w:t>Bresolin</w:t>
      </w:r>
      <w:proofErr w:type="spellEnd"/>
      <w:r w:rsidRPr="0031489F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31489F">
        <w:rPr>
          <w:rFonts w:ascii="Times New Roman" w:hAnsi="Times New Roman"/>
          <w:sz w:val="22"/>
          <w:szCs w:val="22"/>
        </w:rPr>
        <w:t>Maraschin</w:t>
      </w:r>
      <w:proofErr w:type="spellEnd"/>
      <w:r w:rsidRPr="0031489F">
        <w:rPr>
          <w:rFonts w:ascii="Times New Roman" w:hAnsi="Times New Roman"/>
          <w:sz w:val="22"/>
          <w:szCs w:val="22"/>
        </w:rPr>
        <w:t>, Roberta Edelweiss, Pa</w:t>
      </w:r>
      <w:r>
        <w:rPr>
          <w:rFonts w:ascii="Times New Roman" w:hAnsi="Times New Roman"/>
          <w:sz w:val="22"/>
          <w:szCs w:val="22"/>
        </w:rPr>
        <w:t xml:space="preserve">ulo Fontana e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31489F">
        <w:rPr>
          <w:rFonts w:ascii="Times New Roman" w:hAnsi="Times New Roman"/>
          <w:sz w:val="22"/>
          <w:szCs w:val="22"/>
        </w:rPr>
        <w:t xml:space="preserve"> Rômulo Giralt e Deise Flores e 0</w:t>
      </w:r>
      <w:r>
        <w:rPr>
          <w:rFonts w:ascii="Times New Roman" w:hAnsi="Times New Roman"/>
          <w:sz w:val="22"/>
          <w:szCs w:val="22"/>
        </w:rPr>
        <w:t>1</w:t>
      </w:r>
      <w:r w:rsidRPr="0031489F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uma) abstenção</w:t>
      </w:r>
      <w:r w:rsidRPr="003148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conselheiro </w:t>
      </w:r>
      <w:r w:rsidRPr="0031489F">
        <w:rPr>
          <w:rFonts w:ascii="Times New Roman" w:hAnsi="Times New Roman"/>
          <w:sz w:val="22"/>
          <w:szCs w:val="22"/>
        </w:rPr>
        <w:t>Rodrigo Spinelli</w:t>
      </w:r>
      <w:r>
        <w:rPr>
          <w:rFonts w:ascii="Times New Roman" w:hAnsi="Times New Roman"/>
          <w:sz w:val="22"/>
          <w:szCs w:val="22"/>
        </w:rPr>
        <w:t>.</w:t>
      </w:r>
    </w:p>
    <w:p w:rsidR="005255C7" w:rsidRDefault="005255C7" w:rsidP="005255C7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5255C7" w:rsidRDefault="005255C7" w:rsidP="005255C7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31489F">
        <w:rPr>
          <w:rFonts w:ascii="Times New Roman" w:hAnsi="Times New Roman"/>
          <w:sz w:val="22"/>
          <w:szCs w:val="22"/>
        </w:rPr>
        <w:t>Porto Alegre – RS, 29 de maio de 2020.</w:t>
      </w:r>
    </w:p>
    <w:p w:rsidR="005255C7" w:rsidRDefault="005255C7" w:rsidP="00525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55C7" w:rsidRDefault="005255C7" w:rsidP="00525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55C7" w:rsidRDefault="005255C7" w:rsidP="00525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55C7" w:rsidRPr="0031489F" w:rsidRDefault="005255C7" w:rsidP="00525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55C7" w:rsidRPr="0031489F" w:rsidRDefault="005255C7" w:rsidP="005255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55C7" w:rsidRPr="0031489F" w:rsidRDefault="005255C7" w:rsidP="005255C7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1489F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5255C7" w:rsidRPr="0031489F" w:rsidRDefault="005255C7" w:rsidP="005255C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6DDD6A662BBD41BA92B57D5225F73955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Content>
          <w:r w:rsidRPr="0031489F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255C7" w:rsidRDefault="005255C7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5255C7" w:rsidRPr="0031489F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5255C7" w:rsidRPr="0031489F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5255C7" w:rsidRPr="0031489F" w:rsidRDefault="005255C7" w:rsidP="005255C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70/2020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255C7" w:rsidRPr="0031489F" w:rsidRDefault="005255C7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5255C7" w:rsidRPr="0031489F" w:rsidRDefault="005255C7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5255C7" w:rsidRPr="0031489F" w:rsidRDefault="005255C7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5255C7" w:rsidRPr="0031489F" w:rsidRDefault="005255C7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5255C7" w:rsidRPr="0031489F" w:rsidRDefault="005255C7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5255C7" w:rsidRPr="0031489F" w:rsidRDefault="005255C7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15:52:36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15:52:42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15:52:50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15:52:57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15:57:18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15:57:23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15:53:12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15:53:21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15:52:43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15:52:35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15:52:52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15:56:53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15:57:21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15:56:12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15:56:24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15:52:44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15:52:37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15:52:45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15:52:53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15:52:38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15:52:42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15:53:58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15:54:02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15:53:08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15:53:15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15:55:47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15:56:09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15:52:37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15:52:41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15:58:32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15:58:35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5255C7" w:rsidRPr="0031489F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5255C7" w:rsidRPr="0031489F" w:rsidRDefault="005255C7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16:49:17</w:t>
            </w:r>
          </w:p>
        </w:tc>
        <w:tc>
          <w:tcPr>
            <w:tcW w:w="1559" w:type="dxa"/>
            <w:vAlign w:val="bottom"/>
          </w:tcPr>
          <w:p w:rsidR="005255C7" w:rsidRPr="0031489F" w:rsidRDefault="005255C7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5/29/20 16:49:25</w:t>
            </w:r>
          </w:p>
        </w:tc>
        <w:tc>
          <w:tcPr>
            <w:tcW w:w="3051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5255C7" w:rsidRPr="0031489F" w:rsidRDefault="005255C7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89F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</w:tbl>
    <w:p w:rsidR="005255C7" w:rsidRPr="0031489F" w:rsidRDefault="005255C7" w:rsidP="005255C7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5255C7" w:rsidRPr="0031489F" w:rsidRDefault="005255C7" w:rsidP="005255C7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right" w:tblpY="8161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5255C7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5255C7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31489F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31489F">
              <w:rPr>
                <w:rFonts w:ascii="Times New Roman" w:hAnsi="Times New Roman"/>
                <w:sz w:val="18"/>
              </w:rPr>
              <w:t>29/05/2020</w:t>
            </w:r>
          </w:p>
          <w:p w:rsidR="005255C7" w:rsidRPr="0031489F" w:rsidRDefault="005255C7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5255C7" w:rsidRPr="0031489F" w:rsidRDefault="005255C7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1170/2020 –</w:t>
            </w:r>
            <w:r>
              <w:t xml:space="preserve"> </w:t>
            </w:r>
            <w:r w:rsidRPr="005255C7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Homologa encaminhamento ao CAU/BR, de solicitação de regramento para Abertura de Crédito Adicional com Recursos de Superávit F</w:t>
            </w:r>
            <w:r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inanceiro para o exercício 2020</w:t>
            </w:r>
            <w:r w:rsidRPr="0031489F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5255C7" w:rsidRPr="0031489F" w:rsidRDefault="005255C7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784B0B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(1</w:t>
            </w:r>
            <w:r>
              <w:rPr>
                <w:rFonts w:ascii="Times New Roman" w:hAnsi="Times New Roman"/>
                <w:sz w:val="18"/>
              </w:rPr>
              <w:t>7</w:t>
            </w:r>
            <w:proofErr w:type="gramStart"/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31489F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bookmarkStart w:id="0" w:name="_GoBack"/>
            <w:bookmarkEnd w:id="0"/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784B0B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255C7" w:rsidRPr="0031489F" w:rsidRDefault="005255C7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784B0B">
        <w:trPr>
          <w:trHeight w:val="161"/>
        </w:trPr>
        <w:tc>
          <w:tcPr>
            <w:tcW w:w="5389" w:type="dxa"/>
            <w:shd w:val="clear" w:color="auto" w:fill="auto"/>
          </w:tcPr>
          <w:p w:rsidR="005255C7" w:rsidRPr="0031489F" w:rsidRDefault="005255C7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5255C7" w:rsidRPr="0031489F" w:rsidRDefault="005255C7" w:rsidP="00784B0B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31489F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31489F">
              <w:rPr>
                <w:rFonts w:ascii="Times New Roman" w:hAnsi="Times New Roman"/>
                <w:sz w:val="18"/>
                <w:lang w:eastAsia="pt-BR"/>
              </w:rPr>
              <w:t xml:space="preserve"> da Silva</w:t>
            </w:r>
          </w:p>
        </w:tc>
      </w:tr>
    </w:tbl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BF1FEF" w:rsidRPr="005D6DF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55C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55C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398B"/>
    <w:rsid w:val="00133AD2"/>
    <w:rsid w:val="00135D65"/>
    <w:rsid w:val="0015115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4DD8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B6057"/>
    <w:rsid w:val="004C3048"/>
    <w:rsid w:val="004D1039"/>
    <w:rsid w:val="004D75DA"/>
    <w:rsid w:val="004E062B"/>
    <w:rsid w:val="004F15C8"/>
    <w:rsid w:val="004F7247"/>
    <w:rsid w:val="00500C6E"/>
    <w:rsid w:val="00511F40"/>
    <w:rsid w:val="005255C7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2441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2C4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CF36EB"/>
    <w:rsid w:val="00D208B5"/>
    <w:rsid w:val="00D213CD"/>
    <w:rsid w:val="00D24E51"/>
    <w:rsid w:val="00D25107"/>
    <w:rsid w:val="00D32E81"/>
    <w:rsid w:val="00D34C38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5255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D6A662BBD41BA92B57D5225F73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CFF8B-31B1-4388-8236-6557CC63D27A}"/>
      </w:docPartPr>
      <w:docPartBody>
        <w:p w:rsidR="00000000" w:rsidRDefault="00C84628" w:rsidP="00C84628">
          <w:pPr>
            <w:pStyle w:val="6DDD6A662BBD41BA92B57D5225F73955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84628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628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1344F2D729D2488BB133A1E8478B25D5">
    <w:name w:val="1344F2D729D2488BB133A1E8478B25D5"/>
    <w:rsid w:val="00C84628"/>
  </w:style>
  <w:style w:type="paragraph" w:customStyle="1" w:styleId="6DDD6A662BBD41BA92B57D5225F73955">
    <w:name w:val="6DDD6A662BBD41BA92B57D5225F73955"/>
    <w:rsid w:val="00C84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E22E-1673-4E1C-8B2F-C2E698C7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13</cp:revision>
  <cp:lastPrinted>2019-10-25T17:16:00Z</cp:lastPrinted>
  <dcterms:created xsi:type="dcterms:W3CDTF">2020-05-28T17:58:00Z</dcterms:created>
  <dcterms:modified xsi:type="dcterms:W3CDTF">2020-06-01T18:03:00Z</dcterms:modified>
</cp:coreProperties>
</file>