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853CA3" w:rsidRPr="00D47AB6" w:rsidTr="00D47AB6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853CA3" w:rsidRPr="00D47AB6" w:rsidRDefault="00853CA3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PROCESSO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3CA3" w:rsidRPr="00D47AB6" w:rsidRDefault="00E91917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245112/2015</w:t>
            </w:r>
          </w:p>
        </w:tc>
      </w:tr>
      <w:tr w:rsidR="0004714C" w:rsidRPr="00D47AB6" w:rsidTr="00D47AB6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04714C" w:rsidRPr="00D47AB6" w:rsidRDefault="0004714C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4714C" w:rsidRPr="00D47AB6" w:rsidRDefault="00E91917" w:rsidP="007353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V. de S. M. D.</w:t>
            </w:r>
          </w:p>
        </w:tc>
      </w:tr>
      <w:tr w:rsidR="0004714C" w:rsidRPr="00D47AB6" w:rsidTr="00D47AB6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04714C" w:rsidRPr="00D47AB6" w:rsidRDefault="0004714C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DENUNCIADO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4714C" w:rsidRPr="00D47AB6" w:rsidRDefault="00E91917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F. F.</w:t>
            </w:r>
          </w:p>
        </w:tc>
      </w:tr>
      <w:tr w:rsidR="0004714C" w:rsidRPr="00D47AB6" w:rsidTr="00D47AB6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04714C" w:rsidRPr="00D47AB6" w:rsidRDefault="0004714C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4714C" w:rsidRPr="00D47AB6" w:rsidRDefault="007353A0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AB09D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>CED – CAU/RS</w:t>
            </w:r>
            <w:r w:rsidR="001D4F8B" w:rsidRPr="00D47AB6">
              <w:rPr>
                <w:rFonts w:ascii="Times New Roman" w:hAnsi="Times New Roman"/>
                <w:b/>
              </w:rPr>
              <w:t xml:space="preserve">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1D4F8B" w:rsidRPr="00D47AB6">
              <w:rPr>
                <w:rFonts w:ascii="Times New Roman" w:hAnsi="Times New Roman"/>
                <w:b/>
              </w:rPr>
              <w:t>07</w:t>
            </w:r>
            <w:r w:rsidR="00AB09D7">
              <w:rPr>
                <w:rFonts w:ascii="Times New Roman" w:hAnsi="Times New Roman"/>
                <w:b/>
              </w:rPr>
              <w:t>6</w:t>
            </w:r>
            <w:r w:rsidR="001D4F8B" w:rsidRPr="00D47AB6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 xml:space="preserve">27 de novembro </w:t>
      </w:r>
      <w:r w:rsidR="0004714C" w:rsidRPr="00D47AB6">
        <w:rPr>
          <w:rFonts w:ascii="Times New Roman" w:hAnsi="Times New Roman"/>
        </w:rPr>
        <w:t>de 2018</w:t>
      </w:r>
      <w:r w:rsidRPr="00D47AB6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D47AB6">
        <w:rPr>
          <w:rFonts w:ascii="Times New Roman" w:hAnsi="Times New Roman"/>
        </w:rPr>
        <w:t>21, § 1º, da Lei nº 12.378/2010</w:t>
      </w:r>
      <w:r w:rsidRPr="00D47AB6">
        <w:rPr>
          <w:rFonts w:ascii="Times New Roman" w:hAnsi="Times New Roman"/>
        </w:rPr>
        <w:t xml:space="preserve">;  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Considerando a argumentação apresentada pelo Conselheiro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7F3074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1D4F8B" w:rsidRPr="00D47AB6">
        <w:rPr>
          <w:rFonts w:ascii="Times New Roman" w:hAnsi="Times New Roman"/>
        </w:rPr>
        <w:t xml:space="preserve"> (</w:t>
      </w:r>
      <w:r w:rsidR="00AB09D7">
        <w:rPr>
          <w:rFonts w:ascii="Times New Roman" w:hAnsi="Times New Roman"/>
        </w:rPr>
        <w:t>107/110</w:t>
      </w:r>
      <w:r w:rsidR="001D4F8B" w:rsidRPr="00D47AB6">
        <w:rPr>
          <w:rFonts w:ascii="Times New Roman" w:hAnsi="Times New Roman"/>
        </w:rPr>
        <w:t>)</w:t>
      </w:r>
      <w:r w:rsidRPr="00D47AB6">
        <w:rPr>
          <w:rFonts w:ascii="Times New Roman" w:hAnsi="Times New Roman"/>
        </w:rPr>
        <w:t>;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AB09D7" w:rsidRDefault="006636F4" w:rsidP="00AB09D7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324AFC">
        <w:rPr>
          <w:rFonts w:ascii="Times New Roman" w:hAnsi="Times New Roman"/>
        </w:rPr>
        <w:t>Aprovar, por unanimidade, o voto do Conselheiro Relator, nos seguintes termos</w:t>
      </w:r>
      <w:r w:rsidR="00324AFC">
        <w:rPr>
          <w:rFonts w:ascii="Times New Roman" w:hAnsi="Times New Roman"/>
        </w:rPr>
        <w:t>: e</w:t>
      </w:r>
      <w:r w:rsidR="00324AFC" w:rsidRPr="007E21D7">
        <w:rPr>
          <w:rFonts w:ascii="Times New Roman" w:hAnsi="Times New Roman"/>
        </w:rPr>
        <w:t xml:space="preserve">m </w:t>
      </w:r>
      <w:r w:rsidR="00AB09D7" w:rsidRPr="00AB09D7">
        <w:rPr>
          <w:rFonts w:ascii="Times New Roman" w:hAnsi="Times New Roman"/>
        </w:rPr>
        <w:t>suma, analisado o conjunto probatório presente nos autos do processo ético-disciplinar SICCAU nº 245.112/2015, julgo procedente a denúncia e voto pela aplicação a sanção de ADVERTÊNCIA RESERVADA e MULTA, CORRESPONDENTE A 4 (QUATRO) ANUIDADES, uma vez que restou comprovado que o profissional praticou a infração prevista no art. 18, inciso IX, da Lei nº 12.378/2010, e incorreu com sua conduta no não atendimento às regras previstas nos itens nº 3.2.4 – agravada pela circunstância prevista no art. 72, da Resolução CAU/BR nº 143/2017, e atenuada pela causa prevista no art. art. 65, inciso III, alínea “c”, do Código Penal –  e nº 3.2.12, do Código de Ética e Disciplina, aprovado pela Resolução CAU/BR nº 052/2013.</w:t>
      </w:r>
    </w:p>
    <w:p w:rsidR="006636F4" w:rsidRPr="00AB09D7" w:rsidRDefault="006636F4" w:rsidP="00AB09D7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324AFC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AE0258" w:rsidRPr="00D47AB6" w:rsidRDefault="00EE6D91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D47AB6" w:rsidRPr="00D47AB6">
        <w:rPr>
          <w:rFonts w:ascii="Times New Roman" w:hAnsi="Times New Roman"/>
        </w:rPr>
        <w:t>27 de novembro de 2018</w:t>
      </w:r>
      <w:r w:rsidR="00AE0258" w:rsidRPr="00D47AB6">
        <w:rPr>
          <w:rFonts w:ascii="Times New Roman" w:hAnsi="Times New Roman"/>
        </w:rPr>
        <w:t>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ROBERTA KRAHE EDELWEISS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Coordenadora Adjunta </w:t>
            </w:r>
            <w:r w:rsidRPr="00D47AB6">
              <w:rPr>
                <w:rFonts w:ascii="Times New Roman" w:hAnsi="Times New Roman"/>
                <w:i/>
              </w:rPr>
              <w:t>ad hoc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AB09D7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7588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FC90-D451-4798-9505-C629962F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2018-11-22T18:54:00Z</cp:lastPrinted>
  <dcterms:created xsi:type="dcterms:W3CDTF">2018-11-22T19:41:00Z</dcterms:created>
  <dcterms:modified xsi:type="dcterms:W3CDTF">2018-11-22T19:43:00Z</dcterms:modified>
</cp:coreProperties>
</file>