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3A44CE">
        <w:rPr>
          <w:rFonts w:ascii="Calibri" w:hAnsi="Calibri" w:cs="Arial"/>
          <w:b/>
          <w:sz w:val="22"/>
          <w:szCs w:val="22"/>
        </w:rPr>
        <w:t>DELIBERAÇÃO PLENÁRIA</w:t>
      </w: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3A44CE" w:rsidRPr="00CB7A49" w:rsidTr="00F91369">
        <w:trPr>
          <w:trHeight w:val="170"/>
        </w:trPr>
        <w:tc>
          <w:tcPr>
            <w:tcW w:w="3652" w:type="dxa"/>
            <w:vAlign w:val="center"/>
          </w:tcPr>
          <w:p w:rsidR="003A44CE" w:rsidRPr="003A44CE" w:rsidRDefault="003A44CE" w:rsidP="002E2FC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A44CE">
              <w:rPr>
                <w:rFonts w:ascii="Calibri" w:hAnsi="Calibri" w:cs="Arial"/>
                <w:sz w:val="22"/>
                <w:szCs w:val="22"/>
              </w:rPr>
              <w:t xml:space="preserve">Nº: 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 xml:space="preserve">DPL – </w:t>
            </w:r>
            <w:r w:rsidR="002E2FC9">
              <w:rPr>
                <w:rFonts w:ascii="Calibri" w:hAnsi="Calibri" w:cs="Arial"/>
                <w:b/>
                <w:sz w:val="22"/>
                <w:szCs w:val="22"/>
              </w:rPr>
              <w:t>121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3A44CE" w:rsidRPr="003A44CE" w:rsidRDefault="003A44CE" w:rsidP="00125CA6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44CE">
              <w:rPr>
                <w:rFonts w:ascii="Calibri" w:hAnsi="Calibri" w:cs="Arial"/>
                <w:sz w:val="22"/>
                <w:szCs w:val="22"/>
              </w:rPr>
              <w:t>Assunto:</w:t>
            </w:r>
            <w:r w:rsidR="00AF37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76646">
              <w:rPr>
                <w:rFonts w:ascii="Calibri" w:hAnsi="Calibri" w:cs="Arial"/>
                <w:sz w:val="22"/>
                <w:szCs w:val="22"/>
              </w:rPr>
              <w:t xml:space="preserve">Aprova </w:t>
            </w:r>
            <w:r w:rsidR="00125CA6">
              <w:rPr>
                <w:rFonts w:ascii="Calibri" w:hAnsi="Calibri" w:cs="Arial"/>
                <w:sz w:val="22"/>
                <w:szCs w:val="22"/>
              </w:rPr>
              <w:t>a</w:t>
            </w:r>
            <w:r w:rsidR="00AF3742">
              <w:rPr>
                <w:rFonts w:ascii="Calibri" w:hAnsi="Calibri" w:cs="Arial"/>
                <w:sz w:val="22"/>
                <w:szCs w:val="22"/>
              </w:rPr>
              <w:t xml:space="preserve"> regulamenta</w:t>
            </w:r>
            <w:r w:rsidR="00125CA6">
              <w:rPr>
                <w:rFonts w:ascii="Calibri" w:hAnsi="Calibri" w:cs="Arial"/>
                <w:sz w:val="22"/>
                <w:szCs w:val="22"/>
              </w:rPr>
              <w:t>ção sobre</w:t>
            </w:r>
            <w:r w:rsidR="00AF3742">
              <w:rPr>
                <w:rFonts w:ascii="Calibri" w:hAnsi="Calibri" w:cs="Arial"/>
                <w:sz w:val="22"/>
                <w:szCs w:val="22"/>
              </w:rPr>
              <w:t xml:space="preserve"> a Concessão de Patrocínio pelo CAU/RS</w:t>
            </w:r>
            <w:r w:rsidRPr="003A44C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3A44CE" w:rsidRPr="00CB7A49" w:rsidTr="00F91369">
        <w:trPr>
          <w:trHeight w:val="170"/>
        </w:trPr>
        <w:tc>
          <w:tcPr>
            <w:tcW w:w="3652" w:type="dxa"/>
            <w:vAlign w:val="center"/>
          </w:tcPr>
          <w:p w:rsidR="003A44CE" w:rsidRPr="003A44CE" w:rsidRDefault="003A44CE" w:rsidP="002E2F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A44CE">
              <w:rPr>
                <w:rFonts w:ascii="Calibri" w:hAnsi="Calibri" w:cs="Arial"/>
                <w:b/>
                <w:sz w:val="22"/>
                <w:szCs w:val="22"/>
              </w:rPr>
              <w:t>Conforme</w:t>
            </w:r>
            <w:r w:rsidR="002E2FC9">
              <w:rPr>
                <w:rFonts w:ascii="Calibri" w:hAnsi="Calibri" w:cs="Arial"/>
                <w:b/>
                <w:sz w:val="22"/>
                <w:szCs w:val="22"/>
              </w:rPr>
              <w:t xml:space="preserve"> Ata Aprovada da               5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>ª Sessão Plenária</w:t>
            </w:r>
            <w:r w:rsidR="002E2FC9">
              <w:rPr>
                <w:rFonts w:ascii="Calibri" w:hAnsi="Calibri" w:cs="Arial"/>
                <w:b/>
                <w:sz w:val="22"/>
                <w:szCs w:val="22"/>
              </w:rPr>
              <w:t xml:space="preserve"> Extraordinária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A44CE" w:rsidRPr="003A44CE" w:rsidRDefault="003A44CE" w:rsidP="002E2FC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A44CE">
              <w:rPr>
                <w:rFonts w:ascii="Calibri" w:hAnsi="Calibri" w:cs="Arial"/>
                <w:sz w:val="22"/>
                <w:szCs w:val="22"/>
              </w:rPr>
              <w:t xml:space="preserve">Data: </w:t>
            </w:r>
            <w:r w:rsidR="002E2FC9">
              <w:rPr>
                <w:rFonts w:ascii="Calibri" w:hAnsi="Calibri" w:cs="Arial"/>
                <w:b/>
                <w:sz w:val="22"/>
                <w:szCs w:val="22"/>
              </w:rPr>
              <w:t>04/10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>/2013</w:t>
            </w:r>
          </w:p>
        </w:tc>
      </w:tr>
    </w:tbl>
    <w:p w:rsidR="003A44CE" w:rsidRPr="003A44CE" w:rsidRDefault="003A44CE" w:rsidP="003A44C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125CA6" w:rsidRPr="00125CA6" w:rsidRDefault="00125CA6" w:rsidP="00125CA6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  <w:r w:rsidRPr="00125CA6">
        <w:rPr>
          <w:rFonts w:ascii="Calibri" w:hAnsi="Calibri" w:cs="Arial"/>
          <w:sz w:val="22"/>
          <w:szCs w:val="22"/>
        </w:rPr>
        <w:t xml:space="preserve">Regulamenta a concessão de patrocínios pelo Conselho de Arquitetura e Urbanismo do Rio Grande do Sul - CAU/RS, de acordo com os princípios da Resolução nº 23 do CAU/BR e dá outras providências. </w:t>
      </w:r>
    </w:p>
    <w:p w:rsidR="003A44CE" w:rsidRPr="003A44CE" w:rsidRDefault="003A44CE" w:rsidP="003A44CE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 xml:space="preserve">O Plenário do Conselho de Arquitetura e Urbanismo do Rio Grande do Sul – CAU/RS reunido em </w:t>
      </w:r>
      <w:r w:rsidR="00125CA6">
        <w:rPr>
          <w:rFonts w:ascii="Calibri" w:hAnsi="Calibri" w:cs="Arial"/>
          <w:sz w:val="22"/>
          <w:szCs w:val="22"/>
        </w:rPr>
        <w:t>04 de outubro</w:t>
      </w:r>
      <w:r w:rsidRPr="003A44CE">
        <w:rPr>
          <w:rFonts w:ascii="Calibri" w:hAnsi="Calibri" w:cs="Arial"/>
          <w:sz w:val="22"/>
          <w:szCs w:val="22"/>
        </w:rPr>
        <w:t xml:space="preserve"> de 2013, no Auditório da Sociedade de Engenharia do Rio Grande do Sul – SERGS, no exercício de suas competências e prerrogativas:</w:t>
      </w: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3A44CE">
        <w:rPr>
          <w:rFonts w:ascii="Calibri" w:hAnsi="Calibri" w:cs="Arial"/>
          <w:b/>
          <w:sz w:val="22"/>
          <w:szCs w:val="22"/>
        </w:rPr>
        <w:t xml:space="preserve">DELIBERA: </w:t>
      </w:r>
    </w:p>
    <w:p w:rsidR="003A44CE" w:rsidRDefault="00AF3742" w:rsidP="00F408F8">
      <w:pPr>
        <w:pStyle w:val="PargrafodaLista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F408F8">
        <w:rPr>
          <w:rFonts w:asciiTheme="minorHAnsi" w:hAnsiTheme="minorHAnsi" w:cstheme="minorHAnsi"/>
        </w:rPr>
        <w:t xml:space="preserve">Pela aprovação </w:t>
      </w:r>
      <w:r w:rsidR="00125CA6">
        <w:rPr>
          <w:rFonts w:asciiTheme="minorHAnsi" w:hAnsiTheme="minorHAnsi" w:cstheme="minorHAnsi"/>
        </w:rPr>
        <w:t>do procedimento para concessão de patrocínios pelo CAU/RS</w:t>
      </w:r>
      <w:r w:rsidRPr="00F408F8">
        <w:rPr>
          <w:rFonts w:asciiTheme="minorHAnsi" w:hAnsiTheme="minorHAnsi" w:cstheme="minorHAnsi"/>
        </w:rPr>
        <w:t xml:space="preserve">, </w:t>
      </w:r>
      <w:r w:rsidR="00F408F8" w:rsidRPr="00F408F8">
        <w:rPr>
          <w:rFonts w:asciiTheme="minorHAnsi" w:hAnsiTheme="minorHAnsi" w:cstheme="minorHAnsi"/>
        </w:rPr>
        <w:t>que regulamenta a concessão de patrocínios pelo Conselho de Arquitetura e Urbanismo-CAU/RS</w:t>
      </w:r>
      <w:r w:rsidR="003A44CE" w:rsidRPr="00F408F8">
        <w:rPr>
          <w:rFonts w:asciiTheme="minorHAnsi" w:hAnsiTheme="minorHAnsi" w:cstheme="minorHAnsi"/>
        </w:rPr>
        <w:t>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 xml:space="preserve">“O Conselho de Arquitetura e Urbanismo do Rio Grande do Sul - CAU/RS, no exercício das competências e prerrogativas de que tratam o art. 34 da Lei n° 12.378, de 31 de dezembro de 2010 e artigo 11, inciso XL do Regimento Interno do Conselho de Arquitetura e Urbanismo do Rio Grande do Sul (CAU/RS), e de acordo com a deliberação adotada na Sessão Plenária Extraordinária nº 05, realizada no dia 04 de outubro de 2013;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End"/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1° Fica estabelecido um fundo do CAU/RS, com o objetivo de cumprir as finalidades descritas na Lei n° 12.378, de 31 de dezembro de 2010 e conforme o estabelecido na Resolução Nº 23 do CAU/BR, visando o patrocínio de ações movidas por terceiros, entendidos como entidades representativas da arquitetura e urbanismo, exclusivamente para atividades que corroborem com a missão legal do CAU/RS, nos termos desta deliberação.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Parágrafo único O fundo de patrocínio de ações de terceiros deverá ser de no máximo 3% (três por cento) da receita do CAU/RS de acordo com a arrecadação do exercício anterior.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2° Para efeito do cumprimento desta deliberação e no âmbito do CAU/RS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, ficam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 xml:space="preserve"> assim entendidos os seguintes termos: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  <w:t xml:space="preserve">a) patrocínio: é o apoio, financeiro ou através de prestação de serviços, concedido a projetos de responsabilidade de terceiros, que contribuam para promover a produção e a </w:t>
      </w:r>
      <w:r w:rsidRPr="00125CA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difusão do conhecimento, estimular o desenvolvimento e a consolidação do ensino e do exercício profissional, bem como consolidar a imagem dos Conselhos de Arquitetura e Urbanismo e o seu compromisso com o fortalecimento da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  <w:t xml:space="preserve">b) proposta: é o documento apresentado pelo proponente ao CAU/RS, contendo informações suficientes para avaliação da relevância da proposta e da conveniência de concessão de patrocínio;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  <w:t xml:space="preserve">c) projeto: é a descrição detalhada das ações que serão realizadas com início e término definidos e que para efeito de concessão de patrocínio pelo CAU/RS, obedece às exigências e orientações desta deliberação;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  <w:t>d) contrapartida: é o benefício oferecido pelo proponente ao CAU/RS em decorrência do patrocínio concedido;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  <w:t>e) retorno institucional: é o resultado decorrente do projeto patrocinado, que contribua para o desenvolvimento da Arquitetura e Urbanismo ou a promoção da imagem do Conselho de Arquitetura e Urbanismo do Rio Grande do Sul - CAU/RS perante seu público de interesse.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3° A concessão de patrocínios pelo CAU/RS será admitida exclusivamente para as propostas e projetos que estejam em conformidade com a Lei n° 12.378, de 31 de dezembro de 2010, e com o Regimento Interno do CAU/RS e com as condições estabelecidas nesta deliberação.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4° A concessão de patrocínio pelo CAU/RS deve observar as seguintes orientações: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I - poderão ser patrocinados os projetos: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a) que tenham relevância para o desenvolvimento da Arquitetura e Urbanismo no Rio Grande do Sul, organização dos profissionais, aperfeiçoamento do exercício profissional dos mesmos e educação continuada em arquitetura e urbanismo.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b) de âmbito de competência do CAU/RS que disseminem informações e promovam o conhecimento e o fortalecimento da Arquitetura e Urbanismo;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 - não poderão ser patrocinados os projetos: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a) em desacordo com a missão institucional e finalidade do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b) que não evidenciem benefícios para o desenvolvimento da Arquitetura e Urbanismo no Estado do Rio Grande do Sul;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c) cujo proponente tenha prestação de contas de patrocínio anterior não aprovada, ou inconclusa, ou esteja inadimplente perante o CAU/RS, qualquer que seja a motivação;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5° O CAU/RS publicará no início de cada semestre edital de chamada para apresentação de projetos de patrocínio e publicará a relação das propostas aprovadas.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6° O CAU/RS poderá patrocinar projetos relevantes para o desenvolvimento da Arquitetura e Urbanismo assim classificados: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a) eventos: feiras, encontros profissionais, palestras, cursos, conferências, seminários, congressos, premiações e atividades afins;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b) publicações: livros e outras publicações cujos conteúdos colaborem para fomentar a Arquitetura e o Urbanismo e disseminar informações relevantes para o segmento;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c) produções: audiovisuais e exposições.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7° O CAU/RS poderá patrocinar projetos que contemplem pelo menos um dos seguintes objetivos: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a) promova a produção de conhecimento que oriente o exercício profissional e o seu aperfeiçoamento, prioritariamente;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b) potencializem a conquista e ampliação do campo de atuação profissional;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c) promovam a produção e disseminação de material técnico/profissional de interesse da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d) promovam a articulação e fortalecimento das entidades de Arquitetura e Urbanismo no Rio Grande do Sul;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e) ampliem a visibilidade institucional e fortaleçam a imagem do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f) sensibilizem, informem, eduquem e difundam conhecimentos e/ou troca de experiências com vista ao desenvolvimento, modernização e fortalecimento da Arquitetura e Urbanismo.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8° Os projetos em que haja solicitação de patrocínio deverão obedecer às orientações expressas nesta deliberação e deverão conter: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 - apresentação do proponente;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II - apresentação do projeto;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III - objetivos do evento, projeto ou ação;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IV – público -alvo;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V - abrangência geográfica;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VI - contribuições do evento ou ação para o segmento da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VII - históricos de apoios anteriores concedidos pelo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VIII - programação ou roteiro definitivo ou provisório;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IX - valor solicitado;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X - estimativas de custos gerais para realização do evento ou ação;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XI - plano de divulgação;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XII - contrapartidas e proposta de retorno institucional;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XIII - dados bancários da empresa, entidade ou instituição proponente para depósito do patrocínio solicitado;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XIV - potenciais parceiros e/ou parcerias confirmadas;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XV - identificação do (s) responsável (eis) pelo projeto;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XVI - layouts ou artes finais das peças gráficas e eletrônicas de divulgação do evento ou ação, com suas características técnicas e com a proposta de aplicação da logomarca do CAU/RS.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9° As propostas que contemplarem espaço para auditório ou área de exposição para montagem de estande do CAU/BR deverão ser enviadas contendo, além das informações solicitadas no item anterior, os seguintes documentos: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I - planta geral do local do evento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, se houver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II - planta do pavilhão de exposição, com a localização do espaço destinado ao CAU/RS e a indicação dos expositores vizinhos;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III - planta do estande a ser ocupado pelo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IV - descritivo da montagem e infraestrutura que será disponibilizada ao patrocinador.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10. A análise técnica dos projetos com solicitação de patrocínio será realizada pelo Conselho Diretor do CAU/RS com apoio das comissões afins aos respectivos projetos.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§ 1º. Após a análise pelo Conselho Diretor, os projetos selecionados serão encaminhados à Comissão de Planejamento e Finanças, para verificar se há recursos suficientes para concessão dos patrocínios solicitados.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§ 2º. Todos os projetos de patrocínio selecionados pelo Conselho Diretor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, deverão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 xml:space="preserve"> ser aprovados pelo Plenário do CAU/RS.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§ 3º. Projetos especiais deverão ser apreciados pelo plenário do CAU/RS, entendidos como aqueles projetos que não se enquadram em todas as premissas desta deliberação e sejam consideradas de relevância pelo o Conselho Diretor do CAU/RS.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11. O CAU/RS somente analisará projetos cujos proponentes apresentem declaração de habilitação jurídica e de regularidade fiscal.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Parágrafo único. Os proponentes previamente cadastrados, cuja documentação se encontrar com prazos válidos até a realização do evento, ficam dispensados da apresentação da documentação de regularidade prevista neste artigo.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DAS CONTRAPARTIDAS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12. As contrapartidas oferecidas pelos patrocinados apoiarão a decisão do CAU/RS quanto ao valor do investimento.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Parágrafo único. O CAU/RS limita sua participação no orçamento de um evento até 50% (cinquenta por cento) do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>orçamento do mesmo, devendo o proponente comprovar a sua capacidade de obter o restante dos recursos de fontes próprias ou diversas.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13. Para a concessão do patrocínio o CAU/RS analisará as propostas de retorno institucional baseando-se na relevância das contrapartidas oferecidas e nos potenciais benefícios diretos e/ou indiretos para a Arquitetura e Urbanismo, tais como: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 - em eventos: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ab/>
        <w:t>a) relevância para a comunidade do Rio Grande do Sul;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b) isonomia de tratamento de profissionais de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c) realização de palestras sobre temas de interesse da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d) cessão de meios para veiculação direta de mensagens do CAU/RS, incluindo a mobilização do público participante;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e) cessão de espaço para exposição em estande institucional, com infraestrutura;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f) cessão de espaço para veiculação de vídeos do CAU/RS na abertura do evento, intervalos e/ou na abertura de cada sessão;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g) cessão de espaço para participação dos representantes do CAU/RS nas solenidades de abertura com direito à manifestação;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h) exposição da marca CAU/RS nas peças de divulgação do evento ou ação;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i) exposição da marca CAU/RS nos anúncios em mídias diversas e peças de comunicação visual do evento, em comunicações eletrônicas da INTERNET ou do próprio proponente;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j) citação do CAU/RS na divulgação do evento ou ação para a imprensa;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k) conteúdos que colaborem para fomentar e disseminar informações de interesse da Arquitetura e Urbanismo ou entendimento da comunidade de seus problemas relativos à matéria;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l) outras formas de contrapartidas que deverão ser discriminadas em cada item.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 - em publicações: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a) conteúdo editorial relevante para a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b) acessibilidade dos arquitetos e urbanistas ao conteúdo editado, incluindo descontos ou gratuidade;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c) cessão de espaço em livro para veiculação de texto do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d) exposição da marca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e) cessão de exemplares para 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f) autorização, dos autores ou a quem de direito, para cópia da publicação no “site” do CAU/RS;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g) cessão de espaço para participação do CAU/RS na solenidade de lançamento;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h) tiragem e estratégia de distribuição;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i) outras formas de contrapartida, que deverão ser discriminadas em cada item;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III - em ações diversas: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 xml:space="preserve">)conteúdo editorial relevante para a Arquitetura e Urbanismo;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b) acesso de arquitetos e urbanistas às atividades do projeto;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c) outras formas de contrapartida, que deverão ser discriminadas em cada item.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Parágrafo único. No âmbito dos acordos de patrocínio aplicar-se-ão, ainda, as seguintes disposições: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 - o proponente deverá comprovar, junto ao CAU/RS, a realização do objeto patrocinado e o cumprimento de todas as contrapartidas pactuadas;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II – O Conselho Diretor fiscalizará os projetos patrocinados avaliando a efetividade da parceria;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III - a prestação de contas do proponente, contemplando o mencionado nos itens I e II anteriores, além de fotos e material de divulgação, deverá ser entregue, também, em arquivo digital.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DA FORMALIZAÇÃO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lastRenderedPageBreak/>
        <w:t>Art. 14. A formalização da concessão do patrocínio obedecerá ao fluxo de processo inerente a cada modalidade e ocorrerá com a assinatura do instrumento jurídico estabelecido pelo CAU/RS.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15. A relação jurídica somente será formalizada após a entrega, no prazo estabelecido, dos seguintes documentos: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 – ato constitutivo, contrato social ou estatuto social com as alterações, se 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houver,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 xml:space="preserve"> devidamente registrados nos órgãos competentes;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 - ata de eleição e/ou ato de designação das pessoas habilitadas a representar a pessoa jurídica, se for o caso;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III - prova de inscrição no Cadastro Nacional de Pessoa Jurídica;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IV- prova de inscrição nos cadastros estadual e municipal de contribuintes, se houver;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V - carteira de identidade e prova de inscrição no Cadastro de Pessoas Físicas do Ministério da Fazenda (CPF/MF) dos representantes legais da pessoa jurídica;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VI - provas de regularidade fiscal, sendo: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a) certidão conjunta negativa de débitos relativos a tributos e contribuições federais e a dívida ativa da União, expedida pelo órgão da Receita Federal do Brasil;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b) certidão negativa de débitos relativos às contribuições previdenciárias e às de terceiros, expedida pelo órgão da Receita Federal do Brasil;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c) certificado de regularidade para com o Fundo de Garantia por Tempo de Serviço (FGTS), expedida pela Caixa Econômica Federal;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d) certidões negativas de tributos estaduais e municipais, ou, em se tratando de contribuinte isento, cópia do documento de isenção, emitidos pelo órgão competente do Estado e do Município, ou declaração assinada pelo representante legal.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§ 1° As certidões extraídas da Internet deverão estar acompanhadas de suas respectivas certificações, que serão obtidas no mesmo site.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§ 2° A regularidade fiscal poderá ser substituída pelo Sistema de Cadastro Unificado de Fornecedores (SICAF) do governo federal.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REPASSE DE RECURSOS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Art. 16. A liberação dos recursos de patrocínio estará condicionada: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I - ao cumprimento das cláusulas estipuladas no instrumento jurídico firmado entre o CAU/RS e a patrocinada;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II – à validade das certidões de regularidade fiscal apresentadas.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17. A falta de comprovação de qualquer item estabelecido como contrapartida ou a alocação de contrapartida em montante aquém do estabelecido do instrumento jurídico implicará redução proporcional da participação do CAU/BR, ficando o patrocinado obrigado a restituir o valor excedente. 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>DISPOSIÇÕES FINAIS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Art. 18. Sem prejuízo da guarda documental a cargo do CAU/RS, os patrocinados ficarão responsáveis pela guarda dos documentos originais referentes aos patrocínios concedidos, só podendo eliminá-los depois de decorrido o período de 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5</w:t>
      </w:r>
      <w:proofErr w:type="gramEnd"/>
      <w:r w:rsidRPr="00125CA6">
        <w:rPr>
          <w:rFonts w:asciiTheme="minorHAnsi" w:hAnsiTheme="minorHAnsi" w:cstheme="minorHAnsi"/>
          <w:i/>
          <w:sz w:val="22"/>
          <w:szCs w:val="22"/>
        </w:rPr>
        <w:t xml:space="preserve"> (cinco) anos após a aprovação da prestação de contas.</w:t>
      </w: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A6">
        <w:rPr>
          <w:rFonts w:asciiTheme="minorHAnsi" w:hAnsiTheme="minorHAnsi" w:cstheme="minorHAnsi"/>
          <w:i/>
          <w:sz w:val="22"/>
          <w:szCs w:val="22"/>
        </w:rPr>
        <w:t xml:space="preserve">Art. 19. </w:t>
      </w:r>
      <w:proofErr w:type="gramStart"/>
      <w:r w:rsidRPr="00125CA6">
        <w:rPr>
          <w:rFonts w:asciiTheme="minorHAnsi" w:hAnsiTheme="minorHAnsi" w:cstheme="minorHAnsi"/>
          <w:i/>
          <w:sz w:val="22"/>
          <w:szCs w:val="22"/>
        </w:rPr>
        <w:t>Esta deliberação entra em vigor na data de sua publicação.”</w:t>
      </w:r>
      <w:proofErr w:type="gramEnd"/>
    </w:p>
    <w:p w:rsidR="00125CA6" w:rsidRPr="00125CA6" w:rsidRDefault="00125CA6" w:rsidP="00125CA6">
      <w:pPr>
        <w:suppressAutoHyphens/>
        <w:ind w:left="993"/>
        <w:jc w:val="both"/>
        <w:rPr>
          <w:rFonts w:asciiTheme="minorHAnsi" w:hAnsiTheme="minorHAnsi" w:cstheme="minorHAnsi"/>
        </w:rPr>
      </w:pPr>
    </w:p>
    <w:p w:rsidR="002E2FC9" w:rsidRPr="00B16479" w:rsidRDefault="002E2FC9" w:rsidP="002E2FC9">
      <w:pPr>
        <w:pStyle w:val="PargrafodaLista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</w:t>
      </w:r>
      <w:r w:rsidRPr="002B65F3">
        <w:rPr>
          <w:rFonts w:asciiTheme="minorHAnsi" w:hAnsiTheme="minorHAnsi" w:cstheme="minorHAnsi"/>
        </w:rPr>
        <w:t>deliberação teve com 1</w:t>
      </w:r>
      <w:r>
        <w:rPr>
          <w:rFonts w:asciiTheme="minorHAnsi" w:hAnsiTheme="minorHAnsi" w:cstheme="minorHAnsi"/>
        </w:rPr>
        <w:t>8</w:t>
      </w:r>
      <w:r w:rsidRPr="002B65F3">
        <w:rPr>
          <w:rFonts w:asciiTheme="minorHAnsi" w:hAnsiTheme="minorHAnsi" w:cstheme="minorHAnsi"/>
        </w:rPr>
        <w:t xml:space="preserve"> votos a favor e 0</w:t>
      </w:r>
      <w:r>
        <w:rPr>
          <w:rFonts w:asciiTheme="minorHAnsi" w:hAnsiTheme="minorHAnsi" w:cstheme="minorHAnsi"/>
        </w:rPr>
        <w:t>2</w:t>
      </w:r>
      <w:r w:rsidRPr="002B65F3">
        <w:rPr>
          <w:rFonts w:asciiTheme="minorHAnsi" w:hAnsiTheme="minorHAnsi" w:cstheme="minorHAnsi"/>
        </w:rPr>
        <w:t xml:space="preserve"> ausências, conforme </w:t>
      </w:r>
      <w:r w:rsidRPr="00B16479">
        <w:rPr>
          <w:rFonts w:asciiTheme="minorHAnsi" w:hAnsiTheme="minorHAnsi" w:cstheme="minorHAnsi"/>
        </w:rPr>
        <w:t>lista de votação em anexo.</w:t>
      </w:r>
    </w:p>
    <w:p w:rsidR="002E2FC9" w:rsidRPr="00B16479" w:rsidRDefault="002E2FC9" w:rsidP="002E2FC9">
      <w:pPr>
        <w:pStyle w:val="PargrafodaLista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3A44CE" w:rsidRPr="003A44CE" w:rsidRDefault="003A44CE" w:rsidP="003A44CE">
      <w:pPr>
        <w:pStyle w:val="PargrafodaLista"/>
        <w:suppressAutoHyphens/>
        <w:ind w:left="1080"/>
        <w:jc w:val="both"/>
        <w:rPr>
          <w:rFonts w:cs="Calibri"/>
        </w:rPr>
      </w:pPr>
    </w:p>
    <w:p w:rsidR="003A44CE" w:rsidRPr="003A44CE" w:rsidRDefault="003A44CE" w:rsidP="003A44C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 xml:space="preserve">Porto Alegre, </w:t>
      </w:r>
      <w:r w:rsidR="002E2FC9">
        <w:rPr>
          <w:rFonts w:ascii="Calibri" w:hAnsi="Calibri" w:cs="Arial"/>
          <w:sz w:val="22"/>
          <w:szCs w:val="22"/>
        </w:rPr>
        <w:t>04 de outubro</w:t>
      </w:r>
      <w:r w:rsidRPr="003A44CE">
        <w:rPr>
          <w:rFonts w:ascii="Calibri" w:hAnsi="Calibri" w:cs="Arial"/>
          <w:sz w:val="22"/>
          <w:szCs w:val="22"/>
        </w:rPr>
        <w:t xml:space="preserve"> de 2013.</w:t>
      </w:r>
    </w:p>
    <w:p w:rsidR="003A44CE" w:rsidRPr="003A44CE" w:rsidRDefault="003A44CE" w:rsidP="003A44C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44CE">
        <w:rPr>
          <w:rFonts w:ascii="Calibri" w:hAnsi="Calibri" w:cs="Arial"/>
          <w:b/>
          <w:sz w:val="22"/>
          <w:szCs w:val="22"/>
        </w:rPr>
        <w:t>Roberto Py Gomes da Silveira,</w:t>
      </w: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 xml:space="preserve"> Presidente do CAU/RS </w:t>
      </w:r>
    </w:p>
    <w:p w:rsidR="003A44CE" w:rsidRPr="00CB7A49" w:rsidRDefault="003A44CE" w:rsidP="003A44CE">
      <w:pPr>
        <w:spacing w:line="276" w:lineRule="auto"/>
        <w:rPr>
          <w:rFonts w:ascii="Arial" w:hAnsi="Arial" w:cs="Arial"/>
          <w:sz w:val="22"/>
          <w:szCs w:val="22"/>
        </w:rPr>
      </w:pPr>
    </w:p>
    <w:p w:rsidR="006E61BB" w:rsidRPr="00622C45" w:rsidRDefault="006E61BB" w:rsidP="00622C45">
      <w:pPr>
        <w:jc w:val="center"/>
      </w:pPr>
    </w:p>
    <w:sectPr w:rsidR="006E61BB" w:rsidRPr="00622C45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55" w:rsidRDefault="00A47D55">
      <w:r>
        <w:separator/>
      </w:r>
    </w:p>
  </w:endnote>
  <w:endnote w:type="continuationSeparator" w:id="0">
    <w:p w:rsidR="00A47D55" w:rsidRDefault="00A4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FE230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FE2302">
      <w:rPr>
        <w:rFonts w:ascii="Arial" w:hAnsi="Arial"/>
        <w:b/>
        <w:color w:val="003333"/>
        <w:sz w:val="22"/>
      </w:rPr>
      <w:t>www.caubr.org.br</w:t>
    </w:r>
    <w:proofErr w:type="gramStart"/>
    <w:r w:rsidRPr="00FE2302">
      <w:rPr>
        <w:rFonts w:ascii="Arial" w:hAnsi="Arial"/>
        <w:color w:val="003333"/>
        <w:sz w:val="22"/>
      </w:rPr>
      <w:t xml:space="preserve">  </w:t>
    </w:r>
    <w:proofErr w:type="gramEnd"/>
    <w:r w:rsidRPr="00FE2302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55" w:rsidRDefault="00A47D55">
      <w:r>
        <w:separator/>
      </w:r>
    </w:p>
  </w:footnote>
  <w:footnote w:type="continuationSeparator" w:id="0">
    <w:p w:rsidR="00A47D55" w:rsidRDefault="00A4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A44C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A44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27E"/>
    <w:multiLevelType w:val="hybridMultilevel"/>
    <w:tmpl w:val="85824082"/>
    <w:lvl w:ilvl="0" w:tplc="CCD6C5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507"/>
    <w:multiLevelType w:val="hybridMultilevel"/>
    <w:tmpl w:val="26E221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6565F"/>
    <w:rsid w:val="00076646"/>
    <w:rsid w:val="000D399A"/>
    <w:rsid w:val="000F27B3"/>
    <w:rsid w:val="00102876"/>
    <w:rsid w:val="00125CA6"/>
    <w:rsid w:val="001A0E3B"/>
    <w:rsid w:val="002375A4"/>
    <w:rsid w:val="00290404"/>
    <w:rsid w:val="00296240"/>
    <w:rsid w:val="002B3B78"/>
    <w:rsid w:val="002E2FC9"/>
    <w:rsid w:val="003242AC"/>
    <w:rsid w:val="00364BB2"/>
    <w:rsid w:val="00385F35"/>
    <w:rsid w:val="003A44CE"/>
    <w:rsid w:val="003D06F5"/>
    <w:rsid w:val="003F4496"/>
    <w:rsid w:val="004550E1"/>
    <w:rsid w:val="004F2935"/>
    <w:rsid w:val="00567183"/>
    <w:rsid w:val="00572814"/>
    <w:rsid w:val="00577A65"/>
    <w:rsid w:val="005950FA"/>
    <w:rsid w:val="00622C45"/>
    <w:rsid w:val="006C2CC9"/>
    <w:rsid w:val="006E61BB"/>
    <w:rsid w:val="00712705"/>
    <w:rsid w:val="00723713"/>
    <w:rsid w:val="00761C45"/>
    <w:rsid w:val="0078525D"/>
    <w:rsid w:val="007A69A6"/>
    <w:rsid w:val="007F2207"/>
    <w:rsid w:val="008417BE"/>
    <w:rsid w:val="00851AF0"/>
    <w:rsid w:val="00857FC8"/>
    <w:rsid w:val="008B0962"/>
    <w:rsid w:val="00932750"/>
    <w:rsid w:val="009354B9"/>
    <w:rsid w:val="00994451"/>
    <w:rsid w:val="009945EE"/>
    <w:rsid w:val="009E37ED"/>
    <w:rsid w:val="00A4008C"/>
    <w:rsid w:val="00A47D55"/>
    <w:rsid w:val="00AA453B"/>
    <w:rsid w:val="00AB7ACF"/>
    <w:rsid w:val="00AF3742"/>
    <w:rsid w:val="00B10F20"/>
    <w:rsid w:val="00B32FDB"/>
    <w:rsid w:val="00B34695"/>
    <w:rsid w:val="00B50D15"/>
    <w:rsid w:val="00BF0EE3"/>
    <w:rsid w:val="00BF1D54"/>
    <w:rsid w:val="00C55B31"/>
    <w:rsid w:val="00CF65E4"/>
    <w:rsid w:val="00D33988"/>
    <w:rsid w:val="00D62696"/>
    <w:rsid w:val="00D9729D"/>
    <w:rsid w:val="00DD2B91"/>
    <w:rsid w:val="00DE73DA"/>
    <w:rsid w:val="00E5123C"/>
    <w:rsid w:val="00E5214B"/>
    <w:rsid w:val="00E94C65"/>
    <w:rsid w:val="00E957BC"/>
    <w:rsid w:val="00EA4891"/>
    <w:rsid w:val="00EC34DA"/>
    <w:rsid w:val="00EF3903"/>
    <w:rsid w:val="00EF5C8A"/>
    <w:rsid w:val="00F25C0D"/>
    <w:rsid w:val="00F408F8"/>
    <w:rsid w:val="00F8027D"/>
    <w:rsid w:val="00FB7C2B"/>
    <w:rsid w:val="00FD72EF"/>
    <w:rsid w:val="00FE2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12566</Characters>
  <Application>Microsoft Office Word</Application>
  <DocSecurity>4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2013-04-02T17:24:00Z</cp:lastPrinted>
  <dcterms:created xsi:type="dcterms:W3CDTF">2014-03-11T13:29:00Z</dcterms:created>
  <dcterms:modified xsi:type="dcterms:W3CDTF">2014-03-11T13:29:00Z</dcterms:modified>
</cp:coreProperties>
</file>