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B795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52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2B795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relatório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rocessos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dministrativos r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elativos </w:t>
            </w:r>
            <w:r w:rsidR="002B7958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egistros 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 xml:space="preserve">esponsabilidade 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624E2F" w:rsidRPr="00624E2F">
              <w:rPr>
                <w:rFonts w:asciiTheme="minorHAnsi" w:hAnsiTheme="minorHAnsi" w:cs="Arial"/>
                <w:sz w:val="22"/>
                <w:szCs w:val="22"/>
              </w:rPr>
              <w:t>écnica</w:t>
            </w:r>
            <w:r w:rsidR="00624E2F">
              <w:rPr>
                <w:rFonts w:asciiTheme="minorHAnsi" w:hAnsiTheme="minorHAnsi" w:cs="Arial"/>
                <w:sz w:val="22"/>
                <w:szCs w:val="22"/>
              </w:rPr>
              <w:t xml:space="preserve"> do CAU/RS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E9511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33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2E084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E9511B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CD392E" w:rsidRPr="009D74B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01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E084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</w:p>
        </w:tc>
      </w:tr>
    </w:tbl>
    <w:p w:rsidR="00191D73" w:rsidRPr="009D74B9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9D74B9" w:rsidRDefault="00AD04E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AD04E9">
        <w:rPr>
          <w:rFonts w:asciiTheme="minorHAnsi" w:hAnsiTheme="minorHAnsi" w:cs="Arial"/>
          <w:sz w:val="22"/>
          <w:szCs w:val="22"/>
        </w:rPr>
        <w:t xml:space="preserve">Homologa relatório de Processos Administrativos relativos </w:t>
      </w:r>
      <w:r w:rsidR="002B7958">
        <w:rPr>
          <w:rFonts w:asciiTheme="minorHAnsi" w:hAnsiTheme="minorHAnsi" w:cs="Arial"/>
          <w:sz w:val="22"/>
          <w:szCs w:val="22"/>
        </w:rPr>
        <w:t>a</w:t>
      </w:r>
      <w:r w:rsidRPr="00AD04E9">
        <w:rPr>
          <w:rFonts w:asciiTheme="minorHAnsi" w:hAnsiTheme="minorHAnsi" w:cs="Arial"/>
          <w:sz w:val="22"/>
          <w:szCs w:val="22"/>
        </w:rPr>
        <w:t xml:space="preserve"> Registros de Res</w:t>
      </w:r>
      <w:r>
        <w:rPr>
          <w:rFonts w:asciiTheme="minorHAnsi" w:hAnsiTheme="minorHAnsi" w:cs="Arial"/>
          <w:sz w:val="22"/>
          <w:szCs w:val="22"/>
        </w:rPr>
        <w:t>ponsabilidade Técnica do CAU/RS</w:t>
      </w:r>
      <w:r w:rsidR="002B7958">
        <w:rPr>
          <w:rFonts w:asciiTheme="minorHAnsi" w:hAnsiTheme="minorHAnsi" w:cs="Arial"/>
          <w:sz w:val="22"/>
          <w:szCs w:val="22"/>
        </w:rPr>
        <w:t>, deliberados pela Comissão de Exercício Profissional</w:t>
      </w:r>
      <w:r w:rsidR="00013A12"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2B7958">
        <w:rPr>
          <w:rFonts w:asciiTheme="minorHAnsi" w:hAnsiTheme="minorHAnsi" w:cs="Arial"/>
          <w:sz w:val="22"/>
          <w:szCs w:val="22"/>
        </w:rPr>
        <w:t>17 de janeiro de 2014</w:t>
      </w:r>
      <w:r w:rsidRPr="009D74B9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5F24FE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Homologa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r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relatório de Processos Administrativos relativos 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Registros de Responsabilidade Técnica do CAU/RS</w:t>
      </w:r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deliberados pela Comissão de Exercício Profissional no período de 22 de novembro </w:t>
      </w:r>
      <w:proofErr w:type="gramStart"/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>à</w:t>
      </w:r>
      <w:proofErr w:type="gramEnd"/>
      <w:r w:rsidR="002B795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20 de dezembro de 2013, abaixo relacionados</w:t>
      </w:r>
      <w:r w:rsidR="00AD04E9" w:rsidRPr="00AD04E9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BD1B3A" w:rsidRDefault="00BD1B3A" w:rsidP="00AD04E9">
      <w:pPr>
        <w:rPr>
          <w:rFonts w:asciiTheme="minorHAnsi" w:hAnsiTheme="minorHAnsi"/>
          <w:b/>
          <w:sz w:val="26"/>
          <w:szCs w:val="26"/>
        </w:rPr>
      </w:pP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1. Processos de Cancelamento (06) </w:t>
      </w: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560"/>
        <w:gridCol w:w="1842"/>
        <w:gridCol w:w="2633"/>
      </w:tblGrid>
      <w:tr w:rsidR="00BD1B3A" w:rsidRPr="00BD1B3A" w:rsidTr="002B7958">
        <w:trPr>
          <w:trHeight w:val="110"/>
        </w:trPr>
        <w:tc>
          <w:tcPr>
            <w:tcW w:w="9012" w:type="dxa"/>
            <w:gridSpan w:val="5"/>
            <w:tcBorders>
              <w:bottom w:val="single" w:sz="4" w:space="0" w:color="auto"/>
            </w:tcBorders>
          </w:tcPr>
          <w:p w:rsidR="002B7958" w:rsidRDefault="00BD1B3A" w:rsidP="002B7958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Todos os processos de cancelamento, seguiram os ritos da Resolução nº 24 de </w:t>
            </w: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 Junho de 2012, tendo sido aprovados mediante Declaração dos fatos ocorridos que levaram à solicitação de cancelamento com a ciência e a concordância de ambos os interessados: Contratante e contratado. </w:t>
            </w:r>
          </w:p>
          <w:p w:rsidR="002B7958" w:rsidRDefault="002B7958" w:rsidP="002B7958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:rsidR="00BD1B3A" w:rsidRDefault="00BD1B3A" w:rsidP="002B7958">
            <w:pPr>
              <w:autoSpaceDE w:val="0"/>
              <w:autoSpaceDN w:val="0"/>
              <w:adjustRightInd w:val="0"/>
              <w:ind w:left="709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cancelamento motivados por Substituição de Profissional (02) </w:t>
            </w:r>
          </w:p>
          <w:p w:rsidR="002B7958" w:rsidRPr="00BD1B3A" w:rsidRDefault="002B7958" w:rsidP="002B795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92294/2013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1634436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04/12/2013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Luciana Carla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Sossmeier</w:t>
            </w:r>
            <w:proofErr w:type="spellEnd"/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98953/2013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58" w:rsidRDefault="002B7958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1832450</w:t>
            </w:r>
          </w:p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1832479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HMZK Empreendimentos Imobiliários Ltda.</w:t>
            </w:r>
          </w:p>
        </w:tc>
      </w:tr>
    </w:tbl>
    <w:p w:rsidR="002B7958" w:rsidRDefault="002B7958" w:rsidP="00BD1B3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</w:p>
    <w:p w:rsidR="00BD1B3A" w:rsidRDefault="002B7958" w:rsidP="002B7958">
      <w:pPr>
        <w:autoSpaceDE w:val="0"/>
        <w:autoSpaceDN w:val="0"/>
        <w:adjustRightInd w:val="0"/>
        <w:ind w:left="709"/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</w:pP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>Processos de cancelamento motivados por Desistência de Obra ou Serviço (04)</w:t>
      </w:r>
    </w:p>
    <w:p w:rsidR="002B7958" w:rsidRPr="00BD1B3A" w:rsidRDefault="002B7958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560"/>
        <w:gridCol w:w="1842"/>
        <w:gridCol w:w="2694"/>
      </w:tblGrid>
      <w:tr w:rsidR="00BD1B3A" w:rsidRPr="00BD1B3A" w:rsidTr="002B7958">
        <w:trPr>
          <w:trHeight w:val="110"/>
        </w:trPr>
        <w:tc>
          <w:tcPr>
            <w:tcW w:w="1135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694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89440/2013</w:t>
            </w:r>
          </w:p>
        </w:tc>
        <w:tc>
          <w:tcPr>
            <w:tcW w:w="1560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1617473</w:t>
            </w:r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22/11/2013</w:t>
            </w:r>
          </w:p>
        </w:tc>
        <w:tc>
          <w:tcPr>
            <w:tcW w:w="2694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Daniel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Kroth</w:t>
            </w:r>
            <w:proofErr w:type="spellEnd"/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92211/2013</w:t>
            </w:r>
          </w:p>
        </w:tc>
        <w:tc>
          <w:tcPr>
            <w:tcW w:w="1560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1174936</w:t>
            </w:r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28/11/2013</w:t>
            </w:r>
          </w:p>
        </w:tc>
        <w:tc>
          <w:tcPr>
            <w:tcW w:w="2694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Amanda Jerônimo de Jesus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Soster</w:t>
            </w:r>
            <w:proofErr w:type="spellEnd"/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92933/2013</w:t>
            </w:r>
          </w:p>
        </w:tc>
        <w:tc>
          <w:tcPr>
            <w:tcW w:w="1560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420722</w:t>
            </w:r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28/11/2013</w:t>
            </w:r>
          </w:p>
        </w:tc>
        <w:tc>
          <w:tcPr>
            <w:tcW w:w="2694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Marcos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Biazus</w:t>
            </w:r>
            <w:proofErr w:type="spellEnd"/>
          </w:p>
        </w:tc>
      </w:tr>
      <w:tr w:rsidR="00BD1B3A" w:rsidRPr="00BD1B3A" w:rsidTr="002B7958">
        <w:trPr>
          <w:trHeight w:val="110"/>
        </w:trPr>
        <w:tc>
          <w:tcPr>
            <w:tcW w:w="1135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95875/2013</w:t>
            </w:r>
          </w:p>
        </w:tc>
        <w:tc>
          <w:tcPr>
            <w:tcW w:w="1560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1715693</w:t>
            </w:r>
          </w:p>
        </w:tc>
        <w:tc>
          <w:tcPr>
            <w:tcW w:w="1842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04/12/2013</w:t>
            </w:r>
          </w:p>
        </w:tc>
        <w:tc>
          <w:tcPr>
            <w:tcW w:w="2694" w:type="dxa"/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Patricia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Oshima</w:t>
            </w:r>
          </w:p>
        </w:tc>
      </w:tr>
    </w:tbl>
    <w:p w:rsidR="00BD1B3A" w:rsidRPr="00F11698" w:rsidRDefault="00BD1B3A" w:rsidP="00AD04E9">
      <w:pPr>
        <w:rPr>
          <w:rFonts w:asciiTheme="minorHAnsi" w:hAnsiTheme="minorHAnsi"/>
          <w:b/>
          <w:sz w:val="26"/>
          <w:szCs w:val="26"/>
        </w:rPr>
      </w:pPr>
    </w:p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BD1B3A" w:rsidRPr="00BD1B3A" w:rsidRDefault="00BD1B3A" w:rsidP="002B7958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BD1B3A">
        <w:rPr>
          <w:rFonts w:ascii="Calibri" w:hAnsi="Calibri" w:cs="Calibri"/>
          <w:b/>
          <w:bCs/>
          <w:color w:val="000000"/>
          <w:sz w:val="22"/>
          <w:szCs w:val="22"/>
          <w:lang w:eastAsia="pt-BR"/>
        </w:rPr>
        <w:t xml:space="preserve">2. Processos de Registro de RRT Extemporâneo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1560"/>
        <w:gridCol w:w="1842"/>
        <w:gridCol w:w="2694"/>
      </w:tblGrid>
      <w:tr w:rsidR="00BD1B3A" w:rsidRPr="00BD1B3A" w:rsidTr="002B7958">
        <w:trPr>
          <w:trHeight w:val="110"/>
        </w:trPr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BD1B3A" w:rsidRDefault="00BD1B3A" w:rsidP="002B795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Para deliberação destes processos protocolados no SICCAU pelo Arquiteto e Urbanista interessado, foram seguidos os ritos da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Reslução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nº 31 de 02 de Agosto de 2012, tendo sido analisados os documentos comprobatórios da realização dos serviços registrados nos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, tais como: Contratos, Atestados ou outro documento de teor equivalente, assinados pelo contratante do serviço. </w:t>
            </w:r>
          </w:p>
          <w:p w:rsidR="00BD1B3A" w:rsidRDefault="00BD1B3A" w:rsidP="002B795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  <w:p w:rsidR="00BD1B3A" w:rsidRDefault="00BD1B3A" w:rsidP="002B795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Processos de RRT Extemporâneo, deliberados pela CEP (07</w:t>
            </w:r>
            <w:proofErr w:type="gram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2B7958" w:rsidRPr="00BD1B3A" w:rsidRDefault="002B7958" w:rsidP="002B7958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D1B3A" w:rsidRPr="00BD1B3A" w:rsidTr="002B7958">
        <w:trPr>
          <w:trHeight w:val="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BD1B3A" w:rsidRPr="00BD1B3A" w:rsidTr="002B7958">
        <w:trPr>
          <w:trHeight w:val="1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96138/2013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1751533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04/12/2013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Ricardo José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Brocco</w:t>
            </w:r>
            <w:proofErr w:type="spellEnd"/>
          </w:p>
        </w:tc>
      </w:tr>
      <w:tr w:rsidR="00BD1B3A" w:rsidRPr="00BD1B3A" w:rsidTr="002B7958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98988/2013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1744238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Decken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Debiagi</w:t>
            </w:r>
            <w:proofErr w:type="spellEnd"/>
          </w:p>
        </w:tc>
      </w:tr>
      <w:tr w:rsidR="00BD1B3A" w:rsidRPr="00BD1B3A" w:rsidTr="002B7958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98989/2013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1744189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Decken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Debiagi</w:t>
            </w:r>
            <w:proofErr w:type="spellEnd"/>
          </w:p>
        </w:tc>
      </w:tr>
      <w:tr w:rsidR="00BD1B3A" w:rsidRPr="00BD1B3A" w:rsidTr="002B7958">
        <w:trPr>
          <w:trHeight w:val="1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98990/2013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1742259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Decken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Debiagi</w:t>
            </w:r>
            <w:proofErr w:type="spellEnd"/>
          </w:p>
        </w:tc>
      </w:tr>
      <w:tr w:rsidR="00BD1B3A" w:rsidRPr="00BD1B3A" w:rsidTr="002B7958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98991/2013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1742192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Decken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Debiagi</w:t>
            </w:r>
            <w:proofErr w:type="spellEnd"/>
          </w:p>
        </w:tc>
      </w:tr>
      <w:tr w:rsidR="00BD1B3A" w:rsidRPr="00BD1B3A" w:rsidTr="002B7958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98992/2013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1744169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Decken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Debiagi</w:t>
            </w:r>
            <w:proofErr w:type="spellEnd"/>
          </w:p>
        </w:tc>
      </w:tr>
      <w:tr w:rsidR="00BD1B3A" w:rsidRPr="00BD1B3A" w:rsidTr="002B7958">
        <w:trPr>
          <w:trHeight w:val="1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99615/2013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1742133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20/12/2013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3A" w:rsidRPr="00BD1B3A" w:rsidRDefault="00BD1B3A" w:rsidP="002B79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Jorge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Decken</w:t>
            </w:r>
            <w:proofErr w:type="spellEnd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D1B3A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Debiagi</w:t>
            </w:r>
            <w:proofErr w:type="spellEnd"/>
          </w:p>
        </w:tc>
      </w:tr>
    </w:tbl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</w:p>
    <w:p w:rsidR="00BD1B3A" w:rsidRPr="00BD1B3A" w:rsidRDefault="00BD1B3A" w:rsidP="00BD1B3A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pt-BR"/>
        </w:rPr>
      </w:pPr>
      <w:r w:rsidRPr="00BD1B3A">
        <w:rPr>
          <w:rFonts w:ascii="Calibri" w:hAnsi="Calibri" w:cs="Calibri"/>
          <w:color w:val="000000"/>
          <w:lang w:eastAsia="pt-BR"/>
        </w:rPr>
        <w:t xml:space="preserve"> </w:t>
      </w:r>
    </w:p>
    <w:p w:rsidR="009D4ED7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E9511B" w:rsidRPr="009D74B9">
        <w:rPr>
          <w:rFonts w:asciiTheme="minorHAnsi" w:hAnsiTheme="minorHAnsi" w:cstheme="minorHAnsi"/>
        </w:rPr>
        <w:t xml:space="preserve">16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2B7958">
        <w:rPr>
          <w:rFonts w:asciiTheme="minorHAnsi" w:hAnsiTheme="minorHAnsi" w:cstheme="minorHAnsi"/>
        </w:rPr>
        <w:t>4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2B7958">
        <w:rPr>
          <w:rFonts w:asciiTheme="minorHAnsi" w:hAnsiTheme="minorHAnsi" w:cs="Arial"/>
          <w:sz w:val="22"/>
          <w:szCs w:val="22"/>
        </w:rPr>
        <w:t>17 de janeiro 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5F24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98" w:rsidRDefault="00F11698">
      <w:r>
        <w:separator/>
      </w:r>
    </w:p>
  </w:endnote>
  <w:endnote w:type="continuationSeparator" w:id="0">
    <w:p w:rsidR="00F11698" w:rsidRDefault="00F1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98" w:rsidRDefault="00F11698">
      <w:r>
        <w:separator/>
      </w:r>
    </w:p>
  </w:footnote>
  <w:footnote w:type="continuationSeparator" w:id="0">
    <w:p w:rsidR="00F11698" w:rsidRDefault="00F1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7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832B4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2B7958"/>
    <w:rsid w:val="002E0840"/>
    <w:rsid w:val="003242AC"/>
    <w:rsid w:val="00364BB2"/>
    <w:rsid w:val="003A24EC"/>
    <w:rsid w:val="004640B6"/>
    <w:rsid w:val="004F2935"/>
    <w:rsid w:val="00565640"/>
    <w:rsid w:val="00567183"/>
    <w:rsid w:val="00577A65"/>
    <w:rsid w:val="005950FA"/>
    <w:rsid w:val="00597929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9D74B9"/>
    <w:rsid w:val="00A271D4"/>
    <w:rsid w:val="00AB7ACF"/>
    <w:rsid w:val="00AD04E9"/>
    <w:rsid w:val="00AE5966"/>
    <w:rsid w:val="00BA5F89"/>
    <w:rsid w:val="00BD1B3A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9729D"/>
    <w:rsid w:val="00DE10C3"/>
    <w:rsid w:val="00DE73DA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2014-01-31T17:11:00Z</cp:lastPrinted>
  <dcterms:created xsi:type="dcterms:W3CDTF">2014-01-28T16:58:00Z</dcterms:created>
  <dcterms:modified xsi:type="dcterms:W3CDTF">2014-01-31T17:11:00Z</dcterms:modified>
</cp:coreProperties>
</file>