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1C705C" w14:paraId="61D67406" w14:textId="77777777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A9FF664" w14:textId="77777777" w:rsidR="00870FD8" w:rsidRPr="001C705C" w:rsidRDefault="00870FD8" w:rsidP="008539DA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5BC3F55" w14:textId="77777777" w:rsidR="00870FD8" w:rsidRPr="001C705C" w:rsidRDefault="00A7283D" w:rsidP="00DA1661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sz w:val="22"/>
                <w:szCs w:val="22"/>
              </w:rPr>
              <w:t>Sugestões de Cobranças</w:t>
            </w:r>
            <w:r w:rsidR="00E3309C" w:rsidRPr="001C705C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870FD8" w:rsidRPr="001C705C" w14:paraId="2A7786A7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2DE357" w14:textId="77777777" w:rsidR="00870FD8" w:rsidRPr="001C705C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736A1">
              <w:rPr>
                <w:rFonts w:asciiTheme="minorHAnsi" w:hAnsiTheme="minorHAnsi" w:cstheme="minorHAnsi"/>
                <w:b/>
                <w:sz w:val="22"/>
                <w:szCs w:val="22"/>
              </w:rPr>
              <w:t>009</w:t>
            </w:r>
            <w:r w:rsidR="0008301C"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46758CDC" w14:textId="77777777" w:rsidR="00E91C75" w:rsidRPr="001C705C" w:rsidRDefault="00E91C7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6A9A5BF" w14:textId="77777777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>A COMISSÃO DE PLANEJAMENTO E FINANÇAS (CPFI-CAU/RS),</w:t>
      </w:r>
      <w:r w:rsidRPr="001C705C">
        <w:rPr>
          <w:rFonts w:asciiTheme="minorHAnsi" w:hAnsiTheme="minorHAnsi" w:cstheme="minorHAnsi"/>
          <w:sz w:val="22"/>
          <w:szCs w:val="22"/>
        </w:rPr>
        <w:t xml:space="preserve"> por meio de reunião remota, realizada através do </w:t>
      </w:r>
      <w:r w:rsidRPr="001C705C">
        <w:rPr>
          <w:rFonts w:asciiTheme="minorHAnsi" w:hAnsiTheme="minorHAnsi" w:cstheme="minorHAnsi"/>
          <w:i/>
          <w:sz w:val="22"/>
          <w:szCs w:val="22"/>
        </w:rPr>
        <w:t>software</w:t>
      </w:r>
      <w:r w:rsidRPr="001C705C">
        <w:rPr>
          <w:rFonts w:asciiTheme="minorHAnsi" w:hAnsiTheme="minorHAnsi" w:cstheme="minorHAnsi"/>
          <w:sz w:val="22"/>
          <w:szCs w:val="22"/>
        </w:rPr>
        <w:t xml:space="preserve"> Teams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17</w:t>
      </w:r>
      <w:r w:rsidR="00A80823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janeiro de 2022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55485159" w14:textId="77777777" w:rsidR="00E91C75" w:rsidRPr="001C705C" w:rsidRDefault="00E91C7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265AFAD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o disposto no art. 42 da Lei 12.378/2010, que estabelece os valores de anuidades devidos pelos profissionais e empresas inscritos no CAU;</w:t>
      </w:r>
    </w:p>
    <w:p w14:paraId="221172B7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26A9B6B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o inciso VI do art. 34 da Lei 12.378/2010, o qual determina que compete aos </w:t>
      </w:r>
      <w:proofErr w:type="spellStart"/>
      <w:r w:rsidRPr="001C705C">
        <w:rPr>
          <w:rFonts w:asciiTheme="minorHAnsi" w:hAnsiTheme="minorHAnsi" w:cstheme="minorHAnsi"/>
          <w:sz w:val="22"/>
          <w:szCs w:val="22"/>
          <w:lang w:eastAsia="pt-BR"/>
        </w:rPr>
        <w:t>CAUs</w:t>
      </w:r>
      <w:proofErr w:type="spellEnd"/>
      <w:r w:rsidRPr="001C705C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“cobrar as anuidades, as multas e os Registros de Responsabilidade Técnica”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1ED90F8C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361FC4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que o pagamento das anuidades pelos profissionais não pode ser facultativo, sob pena de inviabilizar o funcionamento do CAU, comprometendo a qualidade dos serviços oferecidos aos profissionais e à sociedade em geral;</w:t>
      </w:r>
    </w:p>
    <w:p w14:paraId="1F6D54A2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05487B2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o art. 52 da Lei n° 12.378/2010, o qual estabelece que o atraso no pagamento de anuidade sujeita o responsável à suspensão do exercício profissional ou, no caso de pessoa jurídica, à proibição de prestar trabalhos na área da arquitetura e do urbanismo; </w:t>
      </w:r>
    </w:p>
    <w:p w14:paraId="05E67E07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67D7528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a Resolução CAU/BR nº 193, que dispõe sobre o processo administrativo de cobrança precedente à suspensão do registro em razão de inadimplência; </w:t>
      </w:r>
    </w:p>
    <w:p w14:paraId="46047C96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52C667A" w14:textId="77777777" w:rsidR="00A7283D" w:rsidRPr="001C705C" w:rsidRDefault="00A7283D" w:rsidP="00A7283D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>Considerando que compete ao CAU/RS, conforme artigo 3º do Regimento Interno do CAU/RS, “</w:t>
      </w:r>
      <w:r w:rsidRPr="001C705C">
        <w:rPr>
          <w:rFonts w:asciiTheme="minorHAnsi" w:eastAsiaTheme="minorHAnsi" w:hAnsiTheme="minorHAnsi" w:cstheme="minorHAnsi"/>
          <w:i/>
          <w:sz w:val="22"/>
          <w:szCs w:val="22"/>
        </w:rPr>
        <w:t>XXXIX - cobrar as anuidades, taxas e multas</w:t>
      </w:r>
      <w:r w:rsidRPr="001C705C">
        <w:rPr>
          <w:rFonts w:asciiTheme="minorHAnsi" w:eastAsiaTheme="minorHAnsi" w:hAnsiTheme="minorHAnsi" w:cstheme="minorHAnsi"/>
          <w:sz w:val="22"/>
          <w:szCs w:val="22"/>
        </w:rPr>
        <w:t>”;</w:t>
      </w:r>
    </w:p>
    <w:p w14:paraId="036423F3" w14:textId="77777777" w:rsidR="0008301C" w:rsidRPr="001C705C" w:rsidRDefault="0008301C" w:rsidP="00A7283D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3C3DBA6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a necessidade da notificação anual de cada exercício isolado para a formalização do “lançamento” do crédito tributário, nos termos do artigo 142 do Código Tributário Nacional: Art. 142. Compete privativamente à autoridade administrativa constituir o crédito tributário pelo lançamento, assim entendido o procedimento administrativo tendente a verificar a ocorrência do fato gerador da obrigação correspondente, determinar a matéria tributável, calcular o montante do tributo devido, identificar o sujeito passivo e, sendo caso, propor a aplicação da penalidade cabível. Parágrafo único. A atividade administrativa de lançamento é vinculada e obrigatória, sob pena de responsabilidade funcional”;</w:t>
      </w:r>
    </w:p>
    <w:p w14:paraId="7BCE35E2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F6235A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que as </w:t>
      </w:r>
      <w:r w:rsidRPr="001C705C">
        <w:rPr>
          <w:rFonts w:asciiTheme="minorHAnsi" w:hAnsiTheme="minorHAnsi" w:cstheme="minorHAnsi"/>
          <w:b/>
          <w:bCs/>
          <w:sz w:val="22"/>
          <w:szCs w:val="22"/>
        </w:rPr>
        <w:t>anuidades</w:t>
      </w:r>
      <w:r w:rsidRPr="001C705C">
        <w:rPr>
          <w:rFonts w:asciiTheme="minorHAnsi" w:hAnsiTheme="minorHAnsi" w:cstheme="minorHAnsi"/>
          <w:sz w:val="22"/>
          <w:szCs w:val="22"/>
        </w:rPr>
        <w:t> devidas aos </w:t>
      </w:r>
      <w:r w:rsidRPr="001C705C">
        <w:rPr>
          <w:rFonts w:asciiTheme="minorHAnsi" w:hAnsiTheme="minorHAnsi" w:cstheme="minorHAnsi"/>
          <w:b/>
          <w:bCs/>
          <w:sz w:val="22"/>
          <w:szCs w:val="22"/>
        </w:rPr>
        <w:t>conselhos</w:t>
      </w:r>
      <w:r w:rsidRPr="001C705C">
        <w:rPr>
          <w:rFonts w:asciiTheme="minorHAnsi" w:hAnsiTheme="minorHAnsi" w:cstheme="minorHAnsi"/>
          <w:sz w:val="22"/>
          <w:szCs w:val="22"/>
        </w:rPr>
        <w:t> profissionais constituem contribuições de interesse das categorias profissionais e estão sujeitas a </w:t>
      </w:r>
      <w:r w:rsidRPr="001C705C">
        <w:rPr>
          <w:rFonts w:asciiTheme="minorHAnsi" w:hAnsiTheme="minorHAnsi" w:cstheme="minorHAnsi"/>
          <w:b/>
          <w:bCs/>
          <w:sz w:val="22"/>
          <w:szCs w:val="22"/>
        </w:rPr>
        <w:t>lançamento</w:t>
      </w:r>
      <w:r w:rsidRPr="001C705C">
        <w:rPr>
          <w:rFonts w:asciiTheme="minorHAnsi" w:hAnsiTheme="minorHAnsi" w:cstheme="minorHAnsi"/>
          <w:sz w:val="22"/>
          <w:szCs w:val="22"/>
        </w:rPr>
        <w:t> </w:t>
      </w:r>
      <w:r w:rsidRPr="001C705C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1C705C">
        <w:rPr>
          <w:rFonts w:asciiTheme="minorHAnsi" w:hAnsiTheme="minorHAnsi" w:cstheme="minorHAnsi"/>
          <w:sz w:val="22"/>
          <w:szCs w:val="22"/>
        </w:rPr>
        <w:t> </w:t>
      </w:r>
      <w:r w:rsidRPr="001C705C">
        <w:rPr>
          <w:rFonts w:asciiTheme="minorHAnsi" w:hAnsiTheme="minorHAnsi" w:cstheme="minorHAnsi"/>
          <w:b/>
          <w:bCs/>
          <w:sz w:val="22"/>
          <w:szCs w:val="22"/>
        </w:rPr>
        <w:t>ofício</w:t>
      </w:r>
      <w:r w:rsidRPr="001C705C">
        <w:rPr>
          <w:rFonts w:asciiTheme="minorHAnsi" w:hAnsiTheme="minorHAnsi" w:cstheme="minorHAnsi"/>
          <w:sz w:val="22"/>
          <w:szCs w:val="22"/>
        </w:rPr>
        <w:t>, que se aperfeiçoa com a notificação do contribuinte para efetuar o pagamento do tributo;</w:t>
      </w:r>
    </w:p>
    <w:p w14:paraId="6DB6FE19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3EED16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que a notificação do lançamento ao devedor realiza-se de forma simplificada, por meio do envio de documento contendo o valor devido, a data do vencimento e outras informações,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oportunizando-lhe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o pagamento ou interposição de recurso administrativo;</w:t>
      </w:r>
    </w:p>
    <w:p w14:paraId="291A1CF7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D5FD81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que a comprovação da remessa do referido documento de cobrança das anuidades para o endereço do profissional inscrito, via postal, assinada pelo recebedor da correspondência, mesmo não </w:t>
      </w:r>
      <w:r w:rsidRPr="001C705C">
        <w:rPr>
          <w:rFonts w:asciiTheme="minorHAnsi" w:hAnsiTheme="minorHAnsi" w:cstheme="minorHAnsi"/>
          <w:sz w:val="22"/>
          <w:szCs w:val="22"/>
        </w:rPr>
        <w:lastRenderedPageBreak/>
        <w:t xml:space="preserve">sendo o representante legal do destinatário, é suficiente para efeitos de notificação do lançamento, e que, na ausência de retorno positivo da carta postal, cabe ao exequente proceder à notificação do lançamento tributário por edital, que deve conter os dados mínimos imprescindíveis à identificação do intimado, da finalidade do ato e dos fatos e fundamentos legais, principalmente o débito que está sendo exigido; </w:t>
      </w:r>
    </w:p>
    <w:p w14:paraId="516B2C88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8421D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que, ausentes os requisitos anteriormente citados, tem-se por inválida a notificação, implicando a constituição irregular dos créditos e consequente extinção da execução fiscal. (</w:t>
      </w:r>
      <w:hyperlink r:id="rId8" w:history="1">
        <w:r w:rsidRPr="001C705C">
          <w:rPr>
            <w:rFonts w:asciiTheme="minorHAnsi" w:hAnsiTheme="minorHAnsi" w:cstheme="minorHAnsi"/>
            <w:sz w:val="22"/>
            <w:szCs w:val="22"/>
          </w:rPr>
          <w:t>EMBARGOS À EXECUÇÃO FISCAL. ANUIDADES DE CONSELHO PROFISSIONAL. NOTIFICAÇÃO DO LANÇAMENTO TRIBUTÁRIO. AUSÊNCIA. CONSTITUIÇÃO IRREGULAR DO CRÉDITO. EXTINÇÃO DO PROCESSO EXECUTIVO. Tribunal Regional Federal da 4ª Região TRF-4 - APELAÇÃO CIVEL: AC XXXXX-32.2012.404.7208 SC XXXXX-32.2012.404.7208 (jusbrasil.com.br</w:t>
        </w:r>
      </w:hyperlink>
      <w:r w:rsidRPr="001C705C">
        <w:rPr>
          <w:rFonts w:asciiTheme="minorHAnsi" w:hAnsiTheme="minorHAnsi" w:cstheme="minorHAnsi"/>
          <w:sz w:val="22"/>
          <w:szCs w:val="22"/>
        </w:rPr>
        <w:t>);</w:t>
      </w:r>
    </w:p>
    <w:p w14:paraId="472D0ACE" w14:textId="77777777" w:rsidR="00A7283D" w:rsidRPr="001C705C" w:rsidRDefault="00A7283D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46A7D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que a necessidade de notificação de lançamento anual está no entendimento do TFR4, inclusive extinguindo ações de outros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que não a fizeram e devendo assim ser a realidade dos CAU-UF e que esta ação minimiza o risco de sucumbência em futuras execuções fiscais,</w:t>
      </w:r>
    </w:p>
    <w:p w14:paraId="1275F53C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4DBEA3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que esta notificação deve ser enviada em janeiro, anualmente, aos profissionais e às empresas ativas, totalizando no CAU</w:t>
      </w:r>
      <w:r w:rsidR="005D7592" w:rsidRPr="001C705C">
        <w:rPr>
          <w:rFonts w:asciiTheme="minorHAnsi" w:hAnsiTheme="minorHAnsi" w:cstheme="minorHAnsi"/>
          <w:sz w:val="22"/>
          <w:szCs w:val="22"/>
        </w:rPr>
        <w:t>/RS cerca de 18.000</w:t>
      </w:r>
      <w:r w:rsidRPr="001C705C">
        <w:rPr>
          <w:rFonts w:asciiTheme="minorHAnsi" w:hAnsiTheme="minorHAnsi" w:cstheme="minorHAnsi"/>
          <w:sz w:val="22"/>
          <w:szCs w:val="22"/>
        </w:rPr>
        <w:t xml:space="preserve"> notificações ao custo d</w:t>
      </w:r>
      <w:r w:rsidR="005D7592" w:rsidRPr="001C705C">
        <w:rPr>
          <w:rFonts w:asciiTheme="minorHAnsi" w:hAnsiTheme="minorHAnsi" w:cstheme="minorHAnsi"/>
          <w:sz w:val="22"/>
          <w:szCs w:val="22"/>
        </w:rPr>
        <w:t>e aproximadamente R$ 42.000,00</w:t>
      </w:r>
      <w:r w:rsidRPr="001C705C">
        <w:rPr>
          <w:rFonts w:asciiTheme="minorHAnsi" w:hAnsiTheme="minorHAnsi" w:cstheme="minorHAnsi"/>
          <w:sz w:val="22"/>
          <w:szCs w:val="22"/>
        </w:rPr>
        <w:t xml:space="preserve"> anuais e permanentes e que, por ora, deverão seguir pelo formato postal com AR conforme indicação do TRF da </w:t>
      </w:r>
      <w:r w:rsidR="005D7592" w:rsidRPr="001C705C">
        <w:rPr>
          <w:rFonts w:asciiTheme="minorHAnsi" w:hAnsiTheme="minorHAnsi" w:cstheme="minorHAnsi"/>
          <w:sz w:val="22"/>
          <w:szCs w:val="22"/>
        </w:rPr>
        <w:t>4</w:t>
      </w:r>
      <w:r w:rsidRPr="001C705C">
        <w:rPr>
          <w:rFonts w:asciiTheme="minorHAnsi" w:hAnsiTheme="minorHAnsi" w:cstheme="minorHAnsi"/>
          <w:sz w:val="22"/>
          <w:szCs w:val="22"/>
        </w:rPr>
        <w:t>ª região;</w:t>
      </w:r>
    </w:p>
    <w:p w14:paraId="0B9743C4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0F73CB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que esta ação não se confunde com a notificação de devedores para instauração do Processo Administrativo de Cobrança estabelecido pela Resolução 193 e que necessita de evoluções do SI</w:t>
      </w:r>
      <w:r w:rsidR="00FA26EF" w:rsidRPr="001C705C">
        <w:rPr>
          <w:rFonts w:asciiTheme="minorHAnsi" w:hAnsiTheme="minorHAnsi" w:cstheme="minorHAnsi"/>
          <w:sz w:val="22"/>
          <w:szCs w:val="22"/>
        </w:rPr>
        <w:t xml:space="preserve">CCAU para atender à legalidade </w:t>
      </w:r>
      <w:r w:rsidRPr="001C705C">
        <w:rPr>
          <w:rFonts w:asciiTheme="minorHAnsi" w:hAnsiTheme="minorHAnsi" w:cstheme="minorHAnsi"/>
          <w:sz w:val="22"/>
          <w:szCs w:val="22"/>
        </w:rPr>
        <w:t xml:space="preserve">perante comprovação de notificação válida </w:t>
      </w:r>
      <w:r w:rsidR="005D7592" w:rsidRPr="001C705C">
        <w:rPr>
          <w:rFonts w:asciiTheme="minorHAnsi" w:hAnsiTheme="minorHAnsi" w:cstheme="minorHAnsi"/>
          <w:sz w:val="22"/>
          <w:szCs w:val="22"/>
        </w:rPr>
        <w:t>ao devedor;</w:t>
      </w:r>
    </w:p>
    <w:p w14:paraId="7CDA186C" w14:textId="77777777" w:rsidR="005D7592" w:rsidRPr="001C705C" w:rsidRDefault="005D7592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E7D3BB" w14:textId="77777777" w:rsidR="0008301C" w:rsidRPr="001C705C" w:rsidRDefault="0008301C" w:rsidP="00A84B5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Considerando que atualmente não é possível utilizar os dados do protocolo do SICCAU como instrumento de comprovação para compor o Processo Administrativo de Cobrança, sendo necessário o envio de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E-Carta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aos devedores, o que gera custo</w:t>
      </w:r>
      <w:r w:rsidR="005D7592" w:rsidRPr="001C705C">
        <w:rPr>
          <w:rFonts w:asciiTheme="minorHAnsi" w:hAnsiTheme="minorHAnsi" w:cstheme="minorHAnsi"/>
          <w:sz w:val="22"/>
          <w:szCs w:val="22"/>
        </w:rPr>
        <w:t xml:space="preserve"> de aproximadamente R$ 42.000,00 ao CAU/RS</w:t>
      </w:r>
      <w:r w:rsidRPr="001C705C">
        <w:rPr>
          <w:rFonts w:asciiTheme="minorHAnsi" w:hAnsiTheme="minorHAnsi" w:cstheme="minorHAnsi"/>
          <w:sz w:val="22"/>
          <w:szCs w:val="22"/>
        </w:rPr>
        <w:t xml:space="preserve"> anualmente.</w:t>
      </w:r>
    </w:p>
    <w:p w14:paraId="39B2875F" w14:textId="77777777" w:rsidR="0008301C" w:rsidRPr="001C705C" w:rsidRDefault="0008301C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002A92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Considerando a alta taxa de inadimplência no pagamento das anuidades, fato comum a todos os CAU/UF, tanto em Pessoa Física quanto em Pessoa Jurídica;</w:t>
      </w:r>
    </w:p>
    <w:p w14:paraId="4E6DDB76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14:paraId="67890F16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14:paraId="1014BB4D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14:paraId="06623991" w14:textId="77777777" w:rsidR="00A7283D" w:rsidRPr="001C705C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14:paraId="014712D2" w14:textId="77777777" w:rsidR="00A7283D" w:rsidRPr="001C705C" w:rsidRDefault="00A7283D" w:rsidP="00A7283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>Encaminhar a CPFI Brasil, a sugestão de que sejam realizados estudos sobre novas possibilidades de cobranças conforme sugestões abaixo:</w:t>
      </w:r>
    </w:p>
    <w:p w14:paraId="1EA9BD09" w14:textId="77777777" w:rsidR="00A7283D" w:rsidRPr="001C705C" w:rsidRDefault="00A7283D" w:rsidP="00A728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5C554" w14:textId="77777777" w:rsidR="00FA26EF" w:rsidRPr="001C705C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Incluir em seu sistema informatizado SICCAU, funcionalidade que permita ao CAU/RS e aos demais CAU/UF a emissão automática de boletos (anuidades, multas, RRT, taxas) sem a necessidade de lançamento manual, à vista ou parcelados, </w:t>
      </w:r>
      <w:r w:rsidR="00FA26EF" w:rsidRPr="001C705C">
        <w:rPr>
          <w:rFonts w:asciiTheme="minorHAnsi" w:hAnsiTheme="minorHAnsi" w:cstheme="minorHAnsi"/>
          <w:sz w:val="22"/>
          <w:szCs w:val="22"/>
        </w:rPr>
        <w:t>não em lote como hoje é permitido no sistema;</w:t>
      </w:r>
    </w:p>
    <w:p w14:paraId="6E3022A8" w14:textId="77777777" w:rsidR="00FA26EF" w:rsidRPr="001C705C" w:rsidRDefault="00FA26EF" w:rsidP="00FA26EF">
      <w:pPr>
        <w:pStyle w:val="PargrafodaList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7AE8848" w14:textId="77777777" w:rsidR="00A7283D" w:rsidRDefault="00FA26EF" w:rsidP="001916FF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Verificação de solução junto as ferramentas do SICCAU, Banco do Brasil e Correios (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ex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: sistema e-cartas, utilizado por outros conselhos) de forma a gerar um documento, tal como </w:t>
      </w:r>
      <w:r w:rsidRPr="001C705C">
        <w:rPr>
          <w:rFonts w:asciiTheme="minorHAnsi" w:hAnsiTheme="minorHAnsi" w:cstheme="minorHAnsi"/>
          <w:sz w:val="22"/>
          <w:szCs w:val="22"/>
        </w:rPr>
        <w:lastRenderedPageBreak/>
        <w:t xml:space="preserve">exemplificado abaixo e que deste modo, atenderia a questão do lançamento do crédito, bem como envio dos boletos via Correios. </w:t>
      </w:r>
    </w:p>
    <w:p w14:paraId="0DAF18BD" w14:textId="77777777" w:rsidR="007550FA" w:rsidRPr="007550FA" w:rsidRDefault="007550FA" w:rsidP="007550FA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154B154" w14:textId="77777777" w:rsidR="007550FA" w:rsidRPr="001C705C" w:rsidRDefault="007550FA" w:rsidP="007550FA">
      <w:pPr>
        <w:pStyle w:val="PargrafodaLista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7550FA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 wp14:anchorId="563E312E" wp14:editId="2AF1A70D">
            <wp:extent cx="6155266" cy="4616450"/>
            <wp:effectExtent l="0" t="0" r="0" b="0"/>
            <wp:docPr id="1" name="Imagem 1" descr="C:\Users\cheila\AppData\Local\Microsoft\Windows\INetCache\Content.Outlook\CXIZY8XM\20230117_1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ila\AppData\Local\Microsoft\Windows\INetCache\Content.Outlook\CXIZY8XM\20230117_145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80" cy="46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8C80" w14:textId="77777777" w:rsidR="00A7283D" w:rsidRPr="001C705C" w:rsidRDefault="00A7283D" w:rsidP="001C705C">
      <w:pPr>
        <w:rPr>
          <w:rFonts w:asciiTheme="minorHAnsi" w:hAnsiTheme="minorHAnsi" w:cstheme="minorHAnsi"/>
          <w:sz w:val="22"/>
          <w:szCs w:val="22"/>
        </w:rPr>
      </w:pPr>
    </w:p>
    <w:p w14:paraId="63D1F20D" w14:textId="77777777" w:rsidR="00A7283D" w:rsidRPr="001C705C" w:rsidRDefault="00A7283D" w:rsidP="00A7283D">
      <w:pPr>
        <w:pStyle w:val="PargrafodaList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083FB7C4" w14:textId="77777777" w:rsidR="00507883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Providenciar que o Sistema de Informação e Comunicação dos Conselhos de Arquitetura e Urbanismo (SICCAU),</w:t>
      </w:r>
      <w:r w:rsidR="00B736A1">
        <w:rPr>
          <w:rFonts w:asciiTheme="minorHAnsi" w:hAnsiTheme="minorHAnsi" w:cstheme="minorHAnsi"/>
          <w:sz w:val="22"/>
          <w:szCs w:val="22"/>
        </w:rPr>
        <w:t xml:space="preserve"> </w:t>
      </w:r>
      <w:r w:rsidRPr="001C705C">
        <w:rPr>
          <w:rFonts w:asciiTheme="minorHAnsi" w:hAnsiTheme="minorHAnsi" w:cstheme="minorHAnsi"/>
          <w:sz w:val="22"/>
          <w:szCs w:val="22"/>
        </w:rPr>
        <w:t xml:space="preserve">seja parametrizado para </w:t>
      </w:r>
      <w:r w:rsidR="00B736A1">
        <w:rPr>
          <w:rFonts w:asciiTheme="minorHAnsi" w:hAnsiTheme="minorHAnsi" w:cstheme="minorHAnsi"/>
          <w:sz w:val="22"/>
          <w:szCs w:val="22"/>
        </w:rPr>
        <w:t>que abra uma janela</w:t>
      </w:r>
      <w:r w:rsidR="00507883">
        <w:rPr>
          <w:rFonts w:asciiTheme="minorHAnsi" w:hAnsiTheme="minorHAnsi" w:cstheme="minorHAnsi"/>
          <w:sz w:val="22"/>
          <w:szCs w:val="22"/>
        </w:rPr>
        <w:t xml:space="preserve"> </w:t>
      </w:r>
      <w:r w:rsidR="00B736A1">
        <w:rPr>
          <w:rFonts w:asciiTheme="minorHAnsi" w:hAnsiTheme="minorHAnsi" w:cstheme="minorHAnsi"/>
          <w:sz w:val="22"/>
          <w:szCs w:val="22"/>
        </w:rPr>
        <w:t xml:space="preserve">com botão de “acesse seu boleto” </w:t>
      </w:r>
      <w:r w:rsidR="00507883">
        <w:rPr>
          <w:rFonts w:asciiTheme="minorHAnsi" w:hAnsiTheme="minorHAnsi" w:cstheme="minorHAnsi"/>
          <w:sz w:val="22"/>
          <w:szCs w:val="22"/>
        </w:rPr>
        <w:t>confirmação do profissional no momento de acesso ao SICCAU</w:t>
      </w:r>
      <w:r w:rsidR="00B736A1">
        <w:rPr>
          <w:rFonts w:asciiTheme="minorHAnsi" w:hAnsiTheme="minorHAnsi" w:cstheme="minorHAnsi"/>
          <w:sz w:val="22"/>
          <w:szCs w:val="22"/>
        </w:rPr>
        <w:t xml:space="preserve">, quando abrirá seu boleto de débito antes de ter acesso as demais funcionalidades do SICCAU, </w:t>
      </w:r>
      <w:r w:rsidR="00507883">
        <w:rPr>
          <w:rFonts w:asciiTheme="minorHAnsi" w:hAnsiTheme="minorHAnsi" w:cstheme="minorHAnsi"/>
          <w:sz w:val="22"/>
          <w:szCs w:val="22"/>
        </w:rPr>
        <w:t>onde obrigatoriamente tenha que confirmar que está ciente de seus débitos</w:t>
      </w:r>
      <w:r w:rsidR="00B736A1">
        <w:rPr>
          <w:rFonts w:asciiTheme="minorHAnsi" w:hAnsiTheme="minorHAnsi" w:cstheme="minorHAnsi"/>
          <w:sz w:val="22"/>
          <w:szCs w:val="22"/>
        </w:rPr>
        <w:t>, salvando em protocolo SICCAU os dados desse acesso</w:t>
      </w:r>
      <w:r w:rsidR="00507883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0F7981EB" w14:textId="77777777" w:rsidR="00A7283D" w:rsidRPr="001C705C" w:rsidRDefault="00A7283D" w:rsidP="00A7283D">
      <w:pPr>
        <w:pStyle w:val="PargrafodaList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379D230" w14:textId="77777777" w:rsidR="00A7283D" w:rsidRPr="001C705C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Enviar avisos de cobrança via SMS, alguns conselhos já utilizam essa prática para lembrar o profissional de pagar sua anuidade;</w:t>
      </w:r>
    </w:p>
    <w:p w14:paraId="33814FA8" w14:textId="77777777" w:rsidR="00A7283D" w:rsidRPr="001C705C" w:rsidRDefault="00A7283D" w:rsidP="001C705C">
      <w:pPr>
        <w:rPr>
          <w:rFonts w:asciiTheme="minorHAnsi" w:hAnsiTheme="minorHAnsi" w:cstheme="minorHAnsi"/>
          <w:sz w:val="22"/>
          <w:szCs w:val="22"/>
        </w:rPr>
      </w:pPr>
    </w:p>
    <w:p w14:paraId="02D9C02B" w14:textId="77777777" w:rsidR="00A7283D" w:rsidRPr="001C705C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Desenvolver e melhorar as funcionalidades do SICCAU no sentido de fornecer maior facilidade e controle dos inadimplentes, com relatórios atualizados e práticos. Disponibilizando ferramentas que auxiliem a cobrança “amigável” desses profissionais;</w:t>
      </w:r>
    </w:p>
    <w:p w14:paraId="76ADE6D1" w14:textId="77777777" w:rsidR="00A7283D" w:rsidRPr="001C705C" w:rsidRDefault="00A7283D" w:rsidP="00A7283D">
      <w:pPr>
        <w:pStyle w:val="PargrafodaLista"/>
        <w:ind w:left="1068"/>
        <w:rPr>
          <w:rFonts w:asciiTheme="minorHAnsi" w:hAnsiTheme="minorHAnsi" w:cstheme="minorHAnsi"/>
          <w:sz w:val="22"/>
          <w:szCs w:val="22"/>
        </w:rPr>
      </w:pPr>
    </w:p>
    <w:p w14:paraId="087CDEC9" w14:textId="77777777" w:rsidR="00A7283D" w:rsidRPr="001C705C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Verificar a possibilidade </w:t>
      </w:r>
      <w:proofErr w:type="gramStart"/>
      <w:r w:rsidRPr="001C705C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1C705C">
        <w:rPr>
          <w:rFonts w:asciiTheme="minorHAnsi" w:hAnsiTheme="minorHAnsi" w:cstheme="minorHAnsi"/>
          <w:sz w:val="22"/>
          <w:szCs w:val="22"/>
        </w:rPr>
        <w:t xml:space="preserve"> CAU Brasil firmar convênio com a Receita Federal com o objetivo de realizar a atualização cadastral dos profissionais e empresas registrados no conselho, </w:t>
      </w:r>
      <w:r w:rsidRPr="001C705C">
        <w:rPr>
          <w:rFonts w:asciiTheme="minorHAnsi" w:hAnsiTheme="minorHAnsi" w:cstheme="minorHAnsi"/>
          <w:sz w:val="22"/>
          <w:szCs w:val="22"/>
        </w:rPr>
        <w:lastRenderedPageBreak/>
        <w:t xml:space="preserve">devido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exigência da Receita de estabelecer convênio somente no âmbito nacional pelo órgão federal;</w:t>
      </w:r>
    </w:p>
    <w:p w14:paraId="397B7CFE" w14:textId="77777777" w:rsidR="00A7283D" w:rsidRPr="001C705C" w:rsidRDefault="00A7283D" w:rsidP="00A7283D">
      <w:pPr>
        <w:pStyle w:val="PargrafodaLista"/>
        <w:ind w:left="1068"/>
        <w:rPr>
          <w:rFonts w:asciiTheme="minorHAnsi" w:hAnsiTheme="minorHAnsi" w:cstheme="minorHAnsi"/>
          <w:sz w:val="22"/>
          <w:szCs w:val="22"/>
        </w:rPr>
      </w:pPr>
    </w:p>
    <w:p w14:paraId="5176EA0C" w14:textId="77777777" w:rsidR="00A7283D" w:rsidRPr="001C705C" w:rsidRDefault="00A7283D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 xml:space="preserve">Formar grupo de trabalho com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CPFIs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de outros estados, e seu corpo técnico para discutir e desenvolver procedimentos eficientes de cobranças, tendo em vista que os </w:t>
      </w:r>
      <w:proofErr w:type="spellStart"/>
      <w:r w:rsidRPr="001C705C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>/UF tem pleno conhecimento das dificuldades encontradas no dia a dia bem como de novas oportunidade</w:t>
      </w:r>
      <w:r w:rsidR="00507FB0" w:rsidRPr="001C705C">
        <w:rPr>
          <w:rFonts w:asciiTheme="minorHAnsi" w:hAnsiTheme="minorHAnsi" w:cstheme="minorHAnsi"/>
          <w:sz w:val="22"/>
          <w:szCs w:val="22"/>
        </w:rPr>
        <w:t>s de melhoria nos procedimentos;</w:t>
      </w:r>
    </w:p>
    <w:p w14:paraId="59FDBD07" w14:textId="77777777" w:rsidR="0094414B" w:rsidRPr="001C705C" w:rsidRDefault="0094414B" w:rsidP="0094414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6499A3E" w14:textId="77777777" w:rsidR="0094414B" w:rsidRPr="001C705C" w:rsidRDefault="00507FB0" w:rsidP="00A7283D">
      <w:pPr>
        <w:pStyle w:val="PargrafodaLista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C705C">
        <w:rPr>
          <w:rFonts w:asciiTheme="minorHAnsi" w:hAnsiTheme="minorHAnsi" w:cstheme="minorHAnsi"/>
          <w:sz w:val="22"/>
          <w:szCs w:val="22"/>
        </w:rPr>
        <w:t>Alterar o</w:t>
      </w:r>
      <w:r w:rsidR="0094414B" w:rsidRPr="001C705C">
        <w:rPr>
          <w:rFonts w:asciiTheme="minorHAnsi" w:hAnsiTheme="minorHAnsi" w:cstheme="minorHAnsi"/>
          <w:sz w:val="22"/>
          <w:szCs w:val="22"/>
        </w:rPr>
        <w:t xml:space="preserve"> SICCAU </w:t>
      </w:r>
      <w:r w:rsidRPr="001C705C">
        <w:rPr>
          <w:rFonts w:asciiTheme="minorHAnsi" w:hAnsiTheme="minorHAnsi" w:cstheme="minorHAnsi"/>
          <w:sz w:val="22"/>
          <w:szCs w:val="22"/>
        </w:rPr>
        <w:t>para que o mesmo forneça aos</w:t>
      </w:r>
      <w:r w:rsidR="0094414B" w:rsidRPr="001C705C">
        <w:rPr>
          <w:rFonts w:asciiTheme="minorHAnsi" w:hAnsiTheme="minorHAnsi" w:cstheme="minorHAnsi"/>
          <w:sz w:val="22"/>
          <w:szCs w:val="22"/>
        </w:rPr>
        <w:t xml:space="preserve"> CAU/</w:t>
      </w:r>
      <w:proofErr w:type="spellStart"/>
      <w:r w:rsidR="0094414B" w:rsidRPr="001C705C">
        <w:rPr>
          <w:rFonts w:asciiTheme="minorHAnsi" w:hAnsiTheme="minorHAnsi" w:cstheme="minorHAnsi"/>
          <w:sz w:val="22"/>
          <w:szCs w:val="22"/>
        </w:rPr>
        <w:t>UF</w:t>
      </w:r>
      <w:r w:rsidRPr="001C705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1C705C">
        <w:rPr>
          <w:rFonts w:asciiTheme="minorHAnsi" w:hAnsiTheme="minorHAnsi" w:cstheme="minorHAnsi"/>
          <w:sz w:val="22"/>
          <w:szCs w:val="22"/>
        </w:rPr>
        <w:t xml:space="preserve"> as informações de forma regional/municipal</w:t>
      </w:r>
      <w:r w:rsidR="0094414B" w:rsidRPr="001C705C">
        <w:rPr>
          <w:rFonts w:asciiTheme="minorHAnsi" w:hAnsiTheme="minorHAnsi" w:cstheme="minorHAnsi"/>
          <w:sz w:val="22"/>
          <w:szCs w:val="22"/>
        </w:rPr>
        <w:t xml:space="preserve"> de valores</w:t>
      </w:r>
      <w:r w:rsidRPr="001C705C">
        <w:rPr>
          <w:rFonts w:asciiTheme="minorHAnsi" w:hAnsiTheme="minorHAnsi" w:cstheme="minorHAnsi"/>
          <w:sz w:val="22"/>
          <w:szCs w:val="22"/>
        </w:rPr>
        <w:t xml:space="preserve"> recebidos</w:t>
      </w:r>
      <w:r w:rsidR="0094414B" w:rsidRPr="001C70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4414B" w:rsidRPr="001C705C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="0094414B" w:rsidRPr="001C705C">
        <w:rPr>
          <w:rFonts w:asciiTheme="minorHAnsi" w:hAnsiTheme="minorHAnsi" w:cstheme="minorHAnsi"/>
          <w:sz w:val="22"/>
          <w:szCs w:val="22"/>
        </w:rPr>
        <w:t>, anuidades e taxas</w:t>
      </w:r>
      <w:r w:rsidRPr="001C705C">
        <w:rPr>
          <w:rFonts w:asciiTheme="minorHAnsi" w:hAnsiTheme="minorHAnsi" w:cstheme="minorHAnsi"/>
          <w:sz w:val="22"/>
          <w:szCs w:val="22"/>
        </w:rPr>
        <w:t>.</w:t>
      </w:r>
    </w:p>
    <w:p w14:paraId="00AF4186" w14:textId="77777777" w:rsidR="0096305D" w:rsidRPr="001C705C" w:rsidRDefault="0096305D" w:rsidP="00A7283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A3E5CA" w14:textId="75C33F2C" w:rsidR="00E91C75" w:rsidRDefault="00DF16A1" w:rsidP="006967F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125644484"/>
      <w:r w:rsidRPr="00DF16A1">
        <w:rPr>
          <w:rFonts w:asciiTheme="minorHAnsi" w:hAnsiTheme="minorHAnsi" w:cstheme="minorHAnsi"/>
          <w:sz w:val="22"/>
          <w:szCs w:val="22"/>
          <w:lang w:eastAsia="pt-BR"/>
        </w:rPr>
        <w:t xml:space="preserve">Solicitar à Presidência, que encaminhe a presente deliberação à Gerência do CSC, de modo que a mesma possa opinar sobre a viabilidade de operacionalização das mesmas e também </w:t>
      </w:r>
      <w:r w:rsidR="00DB24D3" w:rsidRPr="00DF16A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F16A1">
        <w:rPr>
          <w:rFonts w:asciiTheme="minorHAnsi" w:hAnsiTheme="minorHAnsi" w:cstheme="minorHAnsi"/>
          <w:sz w:val="22"/>
          <w:szCs w:val="22"/>
          <w:lang w:eastAsia="pt-BR"/>
        </w:rPr>
        <w:t xml:space="preserve">à CPFi-CAU/BR para ciência. </w:t>
      </w:r>
    </w:p>
    <w:bookmarkEnd w:id="0"/>
    <w:p w14:paraId="47B33D91" w14:textId="77777777" w:rsidR="00E24E26" w:rsidRPr="001C705C" w:rsidRDefault="00E24E26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24DAC95" w14:textId="77777777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1C705C"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>04</w:t>
      </w:r>
      <w:r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votos favoráveis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 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Fausto Henrique Steffe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n, 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Orildes Tres, Lidia Glacir Gomes Rodrigues, Carlos Eduardo Iponema Costa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</w:p>
    <w:p w14:paraId="38E29FDA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14:paraId="691B5239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82E415A" w14:textId="77777777" w:rsidR="00E91C75" w:rsidRPr="001C705C" w:rsidRDefault="00430095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</w:t>
      </w:r>
      <w:r w:rsidR="00FA7A35" w:rsidRPr="001C705C">
        <w:rPr>
          <w:rFonts w:asciiTheme="minorHAnsi" w:hAnsiTheme="minorHAnsi" w:cstheme="minorHAnsi"/>
          <w:sz w:val="22"/>
          <w:szCs w:val="22"/>
          <w:lang w:eastAsia="pt-BR"/>
        </w:rPr>
        <w:t>–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RS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17</w:t>
      </w:r>
      <w:r w:rsidR="00FF37B7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janeiro</w:t>
      </w:r>
      <w:r w:rsidR="00BA07F1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22724" w:rsidRPr="001C705C">
        <w:rPr>
          <w:rFonts w:asciiTheme="minorHAnsi" w:hAnsiTheme="minorHAnsi" w:cstheme="minorHAnsi"/>
          <w:sz w:val="22"/>
          <w:szCs w:val="22"/>
          <w:lang w:eastAsia="pt-BR"/>
        </w:rPr>
        <w:t>de 20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018E0213" w14:textId="77777777" w:rsidR="006C20F0" w:rsidRPr="001C705C" w:rsidRDefault="006C20F0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FF2475A" w14:textId="77777777" w:rsidR="00CE3851" w:rsidRDefault="00CE385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CA8273B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9F5D813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6F4259" w14:textId="77777777" w:rsidR="006C20F0" w:rsidRDefault="006C20F0" w:rsidP="006C20F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225103F6" w14:textId="77777777" w:rsidR="006C20F0" w:rsidRDefault="006C20F0" w:rsidP="006C20F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1911AD9D" w14:textId="77777777"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9D33" w14:textId="77777777" w:rsidR="00680466" w:rsidRDefault="00680466" w:rsidP="004C3048">
      <w:r>
        <w:separator/>
      </w:r>
    </w:p>
  </w:endnote>
  <w:endnote w:type="continuationSeparator" w:id="0">
    <w:p w14:paraId="60CA09C0" w14:textId="77777777"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29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AD229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472" w14:textId="77777777"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72A325" w14:textId="77777777"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6E9C950" w14:textId="77777777"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36A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DCDA1A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CD7" w14:textId="77777777"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2BED003" w14:textId="77777777"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7D3EEDDC" w14:textId="77777777"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14:paraId="72380AE7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626F" w14:textId="77777777" w:rsidR="00680466" w:rsidRDefault="00680466" w:rsidP="004C3048">
      <w:r>
        <w:separator/>
      </w:r>
    </w:p>
  </w:footnote>
  <w:footnote w:type="continuationSeparator" w:id="0">
    <w:p w14:paraId="3D8917C5" w14:textId="77777777"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2E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A4B7057" wp14:editId="6B219F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402587E" wp14:editId="69098F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495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EC75E90" wp14:editId="31837548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306" w14:textId="77777777"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B372320" wp14:editId="2D4B3F8B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D39FC" w14:textId="77777777"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7F66A37" w14:textId="77777777"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F17"/>
    <w:multiLevelType w:val="hybridMultilevel"/>
    <w:tmpl w:val="5AF4C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5858">
    <w:abstractNumId w:val="2"/>
  </w:num>
  <w:num w:numId="2" w16cid:durableId="1787236098">
    <w:abstractNumId w:val="8"/>
  </w:num>
  <w:num w:numId="3" w16cid:durableId="278224215">
    <w:abstractNumId w:val="5"/>
  </w:num>
  <w:num w:numId="4" w16cid:durableId="721294056">
    <w:abstractNumId w:val="3"/>
  </w:num>
  <w:num w:numId="5" w16cid:durableId="1668900054">
    <w:abstractNumId w:val="6"/>
  </w:num>
  <w:num w:numId="6" w16cid:durableId="765619434">
    <w:abstractNumId w:val="10"/>
  </w:num>
  <w:num w:numId="7" w16cid:durableId="1175879616">
    <w:abstractNumId w:val="9"/>
  </w:num>
  <w:num w:numId="8" w16cid:durableId="1393693110">
    <w:abstractNumId w:val="0"/>
  </w:num>
  <w:num w:numId="9" w16cid:durableId="1370060972">
    <w:abstractNumId w:val="7"/>
  </w:num>
  <w:num w:numId="10" w16cid:durableId="295765787">
    <w:abstractNumId w:val="4"/>
  </w:num>
  <w:num w:numId="11" w16cid:durableId="7173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8301C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705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5697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07883"/>
    <w:rsid w:val="00507FB0"/>
    <w:rsid w:val="0053240A"/>
    <w:rsid w:val="005461A2"/>
    <w:rsid w:val="00550E28"/>
    <w:rsid w:val="00553D5F"/>
    <w:rsid w:val="005615DC"/>
    <w:rsid w:val="00564054"/>
    <w:rsid w:val="00565889"/>
    <w:rsid w:val="005A456B"/>
    <w:rsid w:val="005B4B10"/>
    <w:rsid w:val="005D2735"/>
    <w:rsid w:val="005D2FBE"/>
    <w:rsid w:val="005D3D88"/>
    <w:rsid w:val="005D7592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20F0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550FA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414B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7283D"/>
    <w:rsid w:val="00A80823"/>
    <w:rsid w:val="00A80C65"/>
    <w:rsid w:val="00A83107"/>
    <w:rsid w:val="00A84B52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6A1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851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16A1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26EF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2E15784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83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jurisprudencia/trf-4/42435754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532F-DB2D-4D43-8CB2-620CAF0C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2021-04-07T13:38:00Z</cp:lastPrinted>
  <dcterms:created xsi:type="dcterms:W3CDTF">2023-01-17T15:43:00Z</dcterms:created>
  <dcterms:modified xsi:type="dcterms:W3CDTF">2023-01-26T20:06:00Z</dcterms:modified>
</cp:coreProperties>
</file>